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F-4669/2020 vom 29. August 2022</w:t>
      </w:r>
    </w:p>
    <w:p>
      <w:r>
        <w:t>Bundesverwaltungsgericht, 2022-08-29, DE</w:t>
      </w:r>
    </w:p>
    <w:p>
      <w:r>
        <w:rPr>
          <w:b/>
        </w:rPr>
        <w:t xml:space="preserve">Quelle: </w:t>
      </w:r>
      <w:r>
        <w:t>https://mcp.opencaselaw.ch/entscheid/bvger_F-4669_2020</w:t>
      </w:r>
    </w:p>
    <w:p>
      <w:r>
        <w:t>FR: TAF F-4669/2020 du 29 août 2022</w:t>
      </w:r>
    </w:p>
    <w:p>
      <w:r>
        <w:t>IT: TAF F-4669/2020 del 29 agosto 2022</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Der Beschwerdeführer rügt, auf dem Empfangsschein zur angefochtenen Verfügung sei keine Unterschrift vorhanden, weshalb unklar sei, ob die Verfügung richtig zugestellt worden sei. Zudem gehe aus der Verfügung nicht hervor, wer sie verfasst habe. Aus diesen Gründen sei die vorinstanzliche Verfügung nichtig. Weiter habe die Vorinstanz sein rechtliches Gehör verletzt, indem sie das Einreiseverbot ungenügend begründet und keine einzelfallgerechte Gefährdungsprognose vorgenommen habe. Auch zur SIS-II-Ausschreibung habe sie sich nicht geäussert. Das rechtliche Gehör zum Einreiseverbot sei ihm sodann über einen Monat vor Erlass des Einreiseverbots und vor Beendigung des Asylverfahrens gewährt worden und hätte ihm vor Erlass des Einreiseverbots erneut gewährt werden müssen. Diese formellen Rügen sind vorab zu beurteilen, da sie allenfalls geeignet sein könnten, eine Kassation der vorinstanzlichen Verfügung zu bewirken (BGE 142 II 218 E. 2.8.1).</w:t>
      </w:r>
    </w:p>
    <w:p>
      <w:r>
        <w:rPr>
          <w:b/>
        </w:rPr>
        <w:t>E. 3.2</w:t>
      </w:r>
    </w:p>
    <w:p>
      <w:r>
        <w:t>Der Anspruch auf rechtliches Gehör (Art. 29 VwVG) umfasst das Recht des Betroffenen, sich vor Erlass eines in seine Rechtsstellung eingreifenden Entscheids zur Sache äussern zu können (Art. 30 VwVG). Er verlangt von der Behörde, dass sie die Vorbringen des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Die Rüge des Beschwerdeführers, wonach die angefochtene Verfügung mangelhaft eröffnet worden sei, keine Unterschrift enthalte und demnach ungültig beziehungsweise nichtig sei, ist unbegründet. Gemäss ständiger Rechtsprechung des Bundesverwaltungsgerichts stellt die Unterschrift kein Gültigkeitserfordernis für eine Verfügung dar (Urteile des BVGer F-1827/2018 vom 30. September 20196 E. 4, F-936/2014 und F-1661/2014 vom 20. Februar 2017 E. 3; C-2492/2008 vom 31. August 2009 E. 3.3). Den Akten lässt sich überdies entnehmen, dass die Verfügung dem Beschwerdeführer am 3. September 2020 eröffnet wurde und er dies unterschriftlich bestätigte (vgl. SEM-Akten act. 16). Die angefochtene Verfügung ist damit formgültig. Dem Beschwerdeführer wurde vor Erlass des Einreiseverbots das rechtliche Gehör gewährt. Nicht zu beanstanden ist, dass dies einen Monat vor Erlass des Einreiseverbots und vor Beendigung des Asylverfahrens erfolgte. Im Rahmen der Vernehmlassung begründete die Vorinstanz unter Verweis auf das straffällige Verhalten des Beschwerdeführers die von ihm ausgehende Gefährdung für die öffentliche Sicherheit und Ordnung. Zudem führte sie aus, weshalb eine Ausschreibung im SIS-II gerechtfertigt sei und nahm eine Interessenabwägung vor. Die formellen Rügen sind damit unbegründet.</w:t>
      </w:r>
    </w:p>
    <w:p>
      <w:r>
        <w:rPr>
          <w:b/>
        </w:rPr>
        <w:t>E. 4.1</w:t>
      </w:r>
    </w:p>
    <w:p>
      <w:r>
        <w:t>Nach Art. 67 Abs. 2 AIG kann das SEM ein Einreiseverbot gegenüber Ausländerinnen und Ausländern verfügen, die gegen die öffentliche Sicherheit und Ordnung in der Schweiz oder im Ausland verstossen haben oder diese gefährden (Bst. a) oder in Vorbereitungs-, Ausschaffungs- oder Durchsetzungshaft genommen worden sind (Bst. c).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die zuständige Behörde von der Verhängung eines Einreiseverbots absehen oder ein solches vollständig oder vorübergehend aufheben (Art. 67 Abs. 5 AIG).</w:t>
      </w:r>
    </w:p>
    <w:p>
      <w:r>
        <w:rPr>
          <w:b/>
        </w:rPr>
        <w:t>E. 4.2</w:t>
      </w:r>
    </w:p>
    <w:p>
      <w:r>
        <w:t>Wird gegen eine Person, die nicht die Staatsangehörigkeit eines Mitgliedstaats der Europäischen Union oder der Europäischen Freihandelsassoziation besitzt, ein Einreiseverbot verhängt, so wird sie nach Massgabe der Bedeutung des Falles im SIS-II zur Einreiseverweigerung ausgeschrieben (vgl. Art. 21 und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[SIS-II] Abl. L 312/14 vom 7.12.2018, nachfolgend: SIS-II-VO) und Art. 21 der N-SIS-Verordnung vom 8. März 2013 (SR 362.0).</w:t>
      </w:r>
    </w:p>
    <w:p>
      <w:r>
        <w:rPr>
          <w:b/>
        </w:rPr>
        <w:t>E. 5.1</w:t>
      </w:r>
    </w:p>
    <w:p>
      <w:r>
        <w:t>Zur Begründung des Einreiseverbots führt die Vorinstanz an, der Beschwerdeführer sei nach den Bestimmungen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weggewiesen worden, wobei die Ausschaffungshaft angeordnet worden sei. Gemäss Art. 67 Abs. 2 Bst. c AIG sei damit eine Fernhaltemassnahme anzuordnen. Die Stellungnahme im Rahmen des rechtlichen Gehörs enthalte keine dagegen sprechenden Gründe.</w:t>
      </w:r>
    </w:p>
    <w:p>
      <w:r>
        <w:rPr>
          <w:b/>
        </w:rPr>
        <w:t>E. 5.2</w:t>
      </w:r>
    </w:p>
    <w:p>
      <w:r>
        <w:t>Der Beschwerdeführer wendet dagegen ein, die Vorinstanz habe das Einreiseverbot lediglich aufgrund der Ausschaffungshaft angeordnet. Er habe jedoch gar nie die Gelegenheit erhalten, selbständig auszureisen, da er nach der Untersuchungshaft und somit vor Ablauf der Beschwerdefrist direkt in die Ausschaffungshaft überstellt worden sei. Er habe nie die Absicht gehabt, unrechtmässig in der Schweiz zu verweilen, sondern habe auf die Möglichkeit der Rückreise gewartet. Das Einreiseverbot greife unverhältnismässig stark in seine privaten Interessen ein, ohne dass dessen Anordnung näher begründet worden sei. Das Einreiseverbot sei zu Unrecht im SIS-II eingetragen worden, denn die Vorinstanz habe keine individuelle Bewertung vorgenommen. Es sei kein öffentliches Interesse ersichtlich, welches einen Eintrag im SIS-II zu rechtfertigen vermöge. Die Dauer des Einreiseverbots sei unverhältnismässig. Es könne ihm (Beschwerdeführer) kein grobes Fehlverhalten vorgeworfen werden, dennoch liege das dreijährige Einreiseverbot im oberen Bereich des gesetzlichen Höchstrahmens von fünf Jahren.</w:t>
      </w:r>
    </w:p>
    <w:p>
      <w:r>
        <w:rPr>
          <w:b/>
        </w:rPr>
        <w:t>E. 5.3</w:t>
      </w:r>
    </w:p>
    <w:p>
      <w:r>
        <w:t>In ihrer Vernehmlassung hält die Vorinstanz fest, der Beschwerdeführer habe sich wegen Diebstahls in polizeilicher Untersuchungshaft befunden und sei mittels Strafbefehlen wegen illegaler Einreise und zweimaligem Diebstahl verurteilt worden. Damit habe er zusätzlich zu Art. 67 Abs. 2 Bst. c AIG (Ausschaffungshaft) einen Fernhaltegrund im Sinne von Art. 67 Abs. 2 Bst. a AIG gesetzt. Er könne ausser seiner Asylgesuchstellung keine privaten Interessen in der Schweiz vorweisen. Er verfüge hierorts über kein familiäres Beziehungsnetz. Nebst dem ausländerrechtlichen Vergehen sei er auch strafrechtlich in Erscheinung getreten. Das dreijährige Einreiseverbot mit gleichzeitiger Ausschreibung im SIS-II sei zum Schutz der öffentlichen Sicherheit und Ordnung begründet und verhältnismässig. Ein überwiegendes öffentliches Interesse an seiner Fernhaltung sei nicht nur in der Schweiz, sondern in allen Schengen-Staaten gegeben. Er sei nicht Bürger eines Mitgliedstaats der EU oder der EFTA und die Bedeutung des Falles rechtfertige die Ausschreibung im SIS-II.</w:t>
      </w:r>
    </w:p>
    <w:p>
      <w:r>
        <w:rPr>
          <w:b/>
        </w:rPr>
        <w:t>E. 5.4</w:t>
      </w:r>
    </w:p>
    <w:p>
      <w:r>
        <w:t>Der Beschwerdeführer bringt in seiner Replik vor, die Ausschaffungshaft sei zu Unrecht angeordnet worden, da keine erhebliche Fluchtgefahr vorhanden gewesen sei. Es könne deshalb gestützt darauf kein Einreiseverbot verhängt werden. Das rechtliche Gehör zum Einreiseverbot sei ihm direkt bei seiner Einreise in die Schweiz gewährt worden, noch bevor in irgendeiner Weise Anzeichen bestehen konnten, dass er eine Gefahr für die öffentliche Sicherheit und Ordnung darstelle oder in Administrativhaft versetzt werden könne. Mit seiner direkten Kontaktaufnahme mit der Polizei habe er gezeigt, dass er nicht gegen die schweizerische Rechtsordnung habe verstossen wollen. Er sei sich der illegalen Einreise in die Schweiz nicht bewusst gewesen, was insbesondere aufgrund seines jungen Alters und der Unkenntnis der hiesigen Rechtsordnung nachvollziehbar sei. Die Begründung der Vorinstanz, ein Einreiseverbot sei auch gestützt auf Art. 67 Abs. 2 Bst. a AIG angezeigt, sei nachgeschoben und daher unbeachtlich. Die erwähnten Delikte würden sodann keine Gefährdung der öffentlichen Sicherheit und Ordnung begründen.</w:t>
      </w:r>
    </w:p>
    <w:p>
      <w:r>
        <w:rPr>
          <w:b/>
        </w:rPr>
        <w:t>E. 6</w:t>
      </w:r>
    </w:p>
    <w:p>
      <w:r>
        <w:t>Die Vorinstanz hat in der angefochtenen Verfügung als Fernhaltegrund insbesondere die Anordnung der Ausschaffungshaft angeführt. Für diesen Fernhaltegrund ist eine vom Beschwerdeführer ausgehende Gefahr für die öffentliche Sicherheit und Ordnung nicht erforderlich (vgl. Art. 67 Abs. 2 Bst. c AIG). Durch seine Straffälligkeit, insbesondere aufgrund der zwei Diebstahlsdelikte, setzte er zudem einen Fernhaltegrund gemäss Art. 67 Abs. 2 Bst. a AIG. Unbeachtlich ist dabei, dass die Vorinstanz diesen Grund erst anlässlich der Vernehmlassung anführte. Vor diesem Hintergrund ist auf das Argument des Beschwerdeführers, die Ausschaffungshaft sei zu Unrecht angeordnet worden, nicht näher einzugehen.</w:t>
      </w:r>
    </w:p>
    <w:p>
      <w:r>
        <w:rPr>
          <w:b/>
        </w:rPr>
        <w:t>E. 7.1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7.2</w:t>
      </w:r>
    </w:p>
    <w:p>
      <w:r>
        <w:t>Das öffentliche Interesse an einer befristeten Fernhaltung des Beschwerdeführers ist aus generalpräventiver Sicht von Bedeutung. Ein Einreiseverbot soll andere Ausländerinnen und Ausländer angesichts der nachteiligen Folgen dazu anhalten, sich an die ausländerrechtliche Ordnung des Gastlandes zu halten. Andererseits ist eine spezialpräventive Zielsetzung der Massnahmen darin zu sehen, dass sie die Betroffenen ermahnt, sich inskünftig an die geltenden Regeln zu halten. Der Beschwerdeführer reiste illegal in die Schweiz ein und verübte zwei Diebstahldelikte, weshalb er in polizeiliche Untersuchungshaft genommen wurde. Während seiner Zeit in der Schweiz verursachte er insbesondere aufgrund der Untersuchungs- und Ausschaffungshaft Kosten, die die öffentliche Hand zu tragen hat, und es besteht ein öffentliches Interesse, eine künftige Belastung der öffentlichen Finanzen zu vermeiden. Das öffentliche Interesse an einer Fernhaltung ist evident.</w:t>
      </w:r>
    </w:p>
    <w:p>
      <w:r>
        <w:rPr>
          <w:b/>
        </w:rPr>
        <w:t>E. 7.3</w:t>
      </w:r>
    </w:p>
    <w:p>
      <w:r>
        <w:t>Als privates Interesse ist die Möglichkeit der Einreise in die Schweiz zu berücksichtigen. Er macht allerdings nicht geltend, hier über familiäre Beziehungen oder über weitere Kontakte zu verfügen.</w:t>
      </w:r>
    </w:p>
    <w:p>
      <w:r>
        <w:rPr>
          <w:b/>
        </w:rPr>
        <w:t>E. 7.4</w:t>
      </w:r>
    </w:p>
    <w:p>
      <w:r>
        <w:t>Eine wertende Abwägung der sich gegenüberstehenden Interessen führt insgesamt zum Ergebnis, dass die öffentlichen Interessen die privaten Interessen des Beschwerdeführers deutlich überwiegen. Anders als in den in der Zwischenverfügung vom 9. Oktober 2020 zitierten Urteilen (Urteile F-1768/2018 vom 15. Oktober 2018 E. 11.3; F-297/2017 vom 9. Mai 2018 E. 7.4; F-6530/2016 vom 7. September 2017 E. 10.5; F-5237/2016 vom 7. Juni 2017 E. 7.3), reiste der Beschwerdeführer nicht nur illegal ein und befand sich in Ausschaffungshaft, sondern - wie im Rahmen der Vernehmlassung bekannt wurde - verübte er weitere Delikte. Das auf drei Jahre befristete Einreiseverbot stellt dem Grundsatz nach und in Bezug auf seine Dauer eine verhältnismässige und angemessene Massnahme zum Schutz der öffentlichen Sicherheit und Ordnung dar.</w:t>
      </w:r>
    </w:p>
    <w:p>
      <w:r>
        <w:rPr>
          <w:b/>
        </w:rPr>
        <w:t>E. 8</w:t>
      </w:r>
    </w:p>
    <w:p>
      <w:r>
        <w:t>Nicht zu beanstanden ist, dass dem Beschwerdeführer die Einreise in das Hoheitsgebiet sämtlicher Schengen-Staaten verboten wurde (vgl. Art. 21 i.V.m. Art. 24 Ziff. 3 SIS-II-Verordnung), handelt es sich doch vorliegend um einen Verstoss gegen nationale Rechtsvorschriften über die Einreise und den Aufenthalt. Es bleibt den Schengen-Staaten unbenommen, ihm bei Vorliegen besonderer Gründe die Einreise in ihr Hoheitsgebiet beziehungsweise den Aufenthalt zu gestatten.</w:t>
      </w:r>
    </w:p>
    <w:p>
      <w:r>
        <w:rPr>
          <w:b/>
        </w:rPr>
        <w:t>E. 9</w:t>
      </w:r>
    </w:p>
    <w:p>
      <w:r>
        <w:t>Die angefochtene Verfügung ist als rechtmässig im Sinne von Art. 49 VwVG zu bestätigen. Die Beschwerde ist demnach abzuweisen.</w:t>
      </w:r>
    </w:p>
    <w:p>
      <w:r>
        <w:rPr>
          <w:b/>
        </w:rPr>
        <w:t>E. 10.1</w:t>
      </w:r>
    </w:p>
    <w:p>
      <w:r>
        <w:t>Entsprechend dem Ausgang des Verfahrens wären die Kosten dem Beschwerdeführer aufzuerlegen (Art. 63 Abs. 1 VwVG). Angesichts der Gewährung der unentgeltlichen Prozessführung nach Art. 65 Abs. 1 VwVG ist auf die Erhebung von Verfahrenskosten jedoch zu verzichten.</w:t>
      </w:r>
    </w:p>
    <w:p>
      <w:r>
        <w:rPr>
          <w:b/>
        </w:rPr>
        <w:t>E. 10.2</w:t>
      </w:r>
    </w:p>
    <w:p>
      <w:r>
        <w:t>Das Gesuch um Beiordnung der rubrizierten Rechtsvertreterin als unentgeltliche Rechtsbeiständin wurde mit Zwischenverfügung vom 9. Oktober 2020 gutgeheissen. Die notwendigerweise erwachsenen Parteikosten sind deshalb durch das Bundesverwaltungsgericht zu übernehmen (vgl. Art. 65 Abs. 2 VwVG i.V.m. Art. 9-14 des Reglements vom 21. Februar 2008 über die Kosten und Entschädigungen vor dem Bundesverwaltungsgericht [VGKE, SR 173.320.2]). Nach Praxis des Gerichts werden amtlich bestellte Rechtsvertreter mit Anwaltspatent mit einem Stundensatz von Fr. 200.- bis 220.- entschädigt (vgl. Art. 12 i.V.m. Art. 10 Abs. 2 VGKE; Urteil des BVGer F-1299/2017 E. 6.3 m. H.). Der in der Honorarnote vom 21. September 2020 geltend gemachte Aufwand von 8.75 Stunden erscheint für das vorliegende Verfahren als zu hoch und ist auf sieben Stunden zu kürzen. Gestützt auf die in Betracht zu ziehenden Bemessungsfaktoren (Art. 9-13 VGKE) ist der Rechtsbeiständin zu Lasten des Bundesverwaltungsgerichts ein Honorar von insgesamt Fr. 1'556.30 (inklusive Auslagen) zuzusprechen, wobei der Beschwerdeführer das amtliche Honorar dem Bundesverwaltungsgericht zurückzuerstatten hat, sollte er später zu hinreichenden Mitteln gelangen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