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F-4669/2017 vom 17. Mai 2019</w:t>
      </w:r>
    </w:p>
    <w:p>
      <w:r>
        <w:t>Bundesverwaltungsgericht, 2019-05-17, FR</w:t>
      </w:r>
    </w:p>
    <w:p>
      <w:r>
        <w:rPr>
          <w:b/>
        </w:rPr>
        <w:t xml:space="preserve">Quelle: </w:t>
      </w:r>
      <w:r>
        <w:t>https://mcp.opencaselaw.ch/entscheid/bvger_F-4669_2017</w:t>
      </w:r>
    </w:p>
    <w:p>
      <w:r>
        <w:t>FR: TAF F-4669/2017 du 17 mai 2019</w:t>
      </w:r>
    </w:p>
    <w:p>
      <w:r>
        <w:t>IT: TAF F-4669/2017 del 17 maggio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agissant par l'intermédiaire de son fils (cf. procuration du 18 août 2017 signée par l'intéressée, dossier TAF act. 1 pce 1), a participé à la procédure devant l'autorité inférieure, est spécialement atteinte par la décision attaquée et conserve un intérêt digne de protection à la présente procédure de recours, malgré le fait que les dates originairement prévues pour sa visite en Suisse soient dépassées (cf. art. 48 al. 1 PA ; cf., dans ce sens, arrêt du TAF 3979/2017 du 13 août 2018 consid. 1.3). Présenté dans la forme et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(cf. arrêt du TAF F-2068/2018 et F-2071/2018 du 1er février 2019 consid. 2).</w:t>
      </w:r>
    </w:p>
    <w:p>
      <w:r>
        <w:rPr>
          <w:b/>
        </w:rPr>
        <w:t>E. 4</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w:t>
      </w:r>
    </w:p>
    <w:p>
      <w:r>
        <w:t>Dans un premier temps, il y a lieu de rappeler les conditions générales posées à l'entrée en Suisse pour un séjour n'excédant pas 90 jours (cf. consid. 5.1 infra). La condition des « moyens de subsistance suffisants » sera, ensuite, décrite de manière plus détaillée (cf. consid. 5.2 et 5.3 infra). La condition de la garantie du retour ponctuel dans le pays d'origine à l'issue du séjour envisagé fera également l'objet d'une présentation plus précise (cf. consid. 5.4 infra). Enfin, il sera fait mention du visa à validité territoriale limitée (ci-après : un visa VTL ; cf. consid. 5.5 infra) et constaté que la recourante est soumise à l'obligation du visa (cf. consid. 5.6 infra).</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2 al. 1 de l'ancienne ordonnance du 22 octobre 2008 sur l'entrée et l'octroi de visas (aOEV, RS 142.204) - respectivement l'art. 3 al. 1 de la nouvelle ordonnance du 15 août 2018 sur l'entrée et l'octroi de visas (OEV, RS 142.204), entrée en vigueur le 15 septembre 2018 (cf. art. 70 OEV [disposition transitoire] et 71 OEV) et ne se distinguant pas matériellement de sa version antérieure sur ce point -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5.2</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 Conformément à l'art. 6 par. 4 du code frontières Schengen et à l'art. 21 par. 5 du code des visas, l'appréciation des moyens de subsistance pour le séjour envisagé se fait en fonction de la durée et de l'objet du séjour et par référence aux prix moyens en matière d'hébergement et de nourriture dans l'Etat membre ou les Etats membres concernés, pour un logement à prix modéré, multipliés par le nombre de jours de séjour, sur la base des montants de référence arrêtés par les Etats membres. Selon l'Annexe 18 du Manuel relatif au traitement des demandes de visa et à la modification des visas délivrés, le ressortissant qui assume personnellement les frais de son séjour en Suisse doit apporter la preuve qu'il dispose d'environ 100 francs par jour (cf. Manuel des visas I et Complément, accessible sur le site du SEM : www.sem.admin.ch sous Publications &amp; Services Directives et circulaires VII. Visas Séjour jusqu'à 90 jours [réglementation Schengen]).</w:t>
      </w:r>
    </w:p>
    <w:p>
      <w:r>
        <w:rPr>
          <w:b/>
        </w:rPr>
        <w:t>E. 5.3</w:t>
      </w:r>
    </w:p>
    <w:p>
      <w:r>
        <w:t>L'art. 2 al. 2 aOEV, respectivement l'art. 3 al. 2 et 3 OEV, dont la teneur ne se distingue pas fondamentalement de l'ancienne, prévoit, quant à lui, que l'argent en espèces ou des avoirs bancaires, une déclaration de prise en charge, une assurance médicale de voyage ou une autre garantie peuvent être acceptés comme preuves de moyens financiers suffisants. En vertu de l'art. 7 al. 1 aOEV (resp.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(art. 8 al. 1 et 5 aOEV resp. art. 15 al. 1 et 5 OEV).</w:t>
      </w:r>
    </w:p>
    <w:p>
      <w:r>
        <w:rPr>
          <w:b/>
        </w:rPr>
        <w:t>E. 5.4</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un billet circulaire, ou encore une réservation de tels billets, une pièce attestant que le demandeur dispose de moyens financiers dans le pays de résidence, une attestation d'emploi et des relevés bancaires, toute preuve de la possession de biens immobiliers et toute preuve de l'intégration dans le pays de résidence (liens de parenté et situation professionnelle). En outre, dans deux arrêts récents, le Tribunal de céans, se référant aux art. 5 al. 2 LEI et 6 par. 1 let. b et par. 3 du code frontières Schengen, a considéré que le versement d'une caution auprès d'un établissement bancaire en Suisse constituait une mesure supplémentaire qui pouvait être ordonnée par les autorités pour garantir un retour ponctuel du requérant dans son pays d'origine (cf. arrêts du TAF F-2881/2018 du 24 janvier 2019 consid. 9.2 et F-190/2017 du 9 octobre 2018 consid. 8.3 [arrêts destinés à la publication aux ATAF]).</w:t>
      </w:r>
    </w:p>
    <w:p>
      <w:r>
        <w:rPr>
          <w:b/>
        </w:rPr>
        <w:t>E. 5.5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aOEV, resp. art. 2 let. d ch. 2, art. 3 al. 4 et al. 5, art. 11 let. b OEV ; art. 32 par. 1 en relation avec l'art. 25 par. 1 let. a et par. 2 du code des visas et art. 5 par. 4 let. c du code frontières Schengen).</w:t>
      </w:r>
    </w:p>
    <w:p>
      <w:r>
        <w:rPr>
          <w:b/>
        </w:rPr>
        <w:t>E. 5.6</w:t>
      </w:r>
    </w:p>
    <w:p>
      <w:r>
        <w:t>Le Règlement (CE) n° 539/2001 du Conseil du 15 mars 2001 (JO L 81 du 21 mars 2001, p. 1-7) - applicable par renvoi -, différencie en son art. 1 par. 1 et 2 les ressortissants des Etats tiers selon qu'ils sont soumis ou non à l'obligation du visa. Du fait que la recourante est une ressortissante indienne, elle est soumise à l'obligation de visa.</w:t>
      </w:r>
    </w:p>
    <w:p>
      <w:r>
        <w:rPr>
          <w:b/>
        </w:rPr>
        <w:t>E. 6.1</w:t>
      </w:r>
    </w:p>
    <w:p>
      <w:r>
        <w:t>Dans sa décision du 26 juillet 2017, le SEM a considéré que la recourante et son fils n'avaient pas démontré à satisfaction qu'ils bénéficiaient de moyens financiers suffisants pour couvrir les frais du séjour de l'intéressée en Suisse, et cela d'autant plus que cette dernière envisageait de quitter son pays pour une longe période, d'environ trois mois. Au vu de l'ensemble des éléments, de la situation personnelle de la recourante (veuve, peu de moyens financiers) ainsi que de la situation socio-économique prévalant dans son pays d'origine, le SEM a, en outre, estimé que la sortie de l'Espace Schengen de l'intéressée au terme du séjour sollicité ne pouvait pas être considérée comme suffisamment garantie. Enfin, il a exposé que le fait que la recourante ait déjà obtenu des visas Schengen ne constituait pas un élément susceptible de modifier sa décision.</w:t>
      </w:r>
    </w:p>
    <w:p>
      <w:r>
        <w:rPr>
          <w:b/>
        </w:rPr>
        <w:t>E. 6.2</w:t>
      </w:r>
    </w:p>
    <w:p>
      <w:r>
        <w:t>Dans son recours du 18 août 2017, la recourante a exposé qu'après avoir déposé une première demande de visa dans laquelle ils avaient, elle et son fils, erronément indiqué que les frais de voyage et de subsistance pendant son séjour seraient pris en charge « par un garant » et reçu une première décision négative de la Représentation suisse à New Delhi, ils auraient rectifié la demande et produit différentes pièces établissant sa situation financière, qui ne serait « en aucun cas liée à la situation économique ou politique de l'Inde ». Elle a relevé qu'elle disposait d'un montant total correspondant à 35'856 francs qui était librement disponible et qu'elle pouvait utiliser en tout temps, en fonction de ses besoins. La recourante a également précisé que son fils avait pris en charge tous les frais liés à sa visite en Suisse et à leurs voyages touristiques planifiés dans d'autres villes d'Europe et qu'il avait produit un extrait de son compte bancaire indiquant un montant de 3'228,53 francs disponible pour les vacances. Elle a relevé qu'elle était veuve depuis février 2009 et femme au foyer et que ses trois fils étaient en mesure de l'aider. Elle avait, par ailleurs, par le passé, déposé à trois reprises des demandes de visa pour le Royaume-Uni, ces demandes ayant été à chaque fois acceptées pour une durée de six mois. Elle a indiqué que sa dernière visite en Suisse aurait eu lieu entre le 5 mars 2013 et le 4 juillet 2013, pour un séjour de quatre mois, et n'aurait fait l'objet ni d'une demande de prolongation, ni d'un séjour illégal (cette information devant être rectifiée dans le sens où, pour cette période, seul un visa pour le Royaume Uni, valable du 6 février 2013 au 6 août 2013, pour un séjour de 180 jours, ainsi qu'un timbre humide à l'arrivée de l'aéroport de Londres-Heathrow daté du 5 mars 2013 et un timbre humide à son retour en Inde daté du 4 juillet 2013 apparaissent dans le passeport de l'intéressée [cf. dossier TAF act. 1 annexe 8]). Elle s'était également rendue aux Etats-Unis d'Amérique le 15 août 2016 pour trois mois, ayant obtenu pour ce pays un visa de catégorie B2 de dix ans. Au vu de ses déplacements, la recourante a relevé que ses intentions étaient claires et qu'elle n'avait jamais séjourné illégalement où que ce fût. Dans un courrier du 20 août 2017, une connaissance du fils de la recourante a, en outre, déclaré se porter garant du départ de l'intéressée à l'issue de son séjour en Suisse, précisant qu'il accompagnerait cette dernière jusqu'à la frontière aéroportuaire et qu'en cas de non-respect du départ, il s'engageait à en informer les autorités (cf. dossier TAF act. 2). Dans sa réplique du 12 décembre 2017, la recourante a précisé qu'elle détenait actuellement un montant total de 58'443 francs, dont elle avait tout loisir de disposer. Elle a également indiqué qu'elle était actuellement en déplacement aux Etats-Unis pour rendre visite à sa mère. Elle a, une nouvelle fois, souligné qu'elle avait passé les 65 années de sa vie en Inde, était veuve depuis près de neuf ans et n'avait aucune intention de vivre ailleurs que dans son pays. Par courrier du 13 février 2018, la recourante a produit différentes pièces complémentaires, devant démontrer, entre autres, l'existence des membres de sa famille en Inde.</w:t>
      </w:r>
    </w:p>
    <w:p>
      <w:r>
        <w:rPr>
          <w:b/>
        </w:rPr>
        <w:t>E. 6.3</w:t>
      </w:r>
    </w:p>
    <w:p>
      <w:r>
        <w:t>Dans un premier temps, le Tribunal examinera si, comme l'affirme la recourante, elle dispose bien des moyens financiers nécessaires pour son séjour envisagé de 83 jours en Suisse et pour son retour en Inde.</w:t>
      </w:r>
    </w:p>
    <w:p>
      <w:r>
        <w:rPr>
          <w:b/>
        </w:rPr>
        <w:t>E. 6.3.1</w:t>
      </w:r>
    </w:p>
    <w:p>
      <w:r>
        <w:t>Si l'on retient le montant de référence de 100 francs par jour indiqué à l'Annexe 18 du Manuel des visas I (cf. consid. 5.2 supra) et le nombre de 83 jours prévus pour la visite de la requérante en Suisse, cette dernière devrait disposer de 8'300 francs si elle entendait assumer elle-même les frais de son séjour sur le territoire helvétique. A ce montant, il y aurait lieu d'ajouter les frais du voyage aller et retour ainsi que l'assurance médicale de voyage (cf. arrêt du TAF C-5260/2011 du 4 avril 2014 consid. 5.5 et 5.6).</w:t>
      </w:r>
    </w:p>
    <w:p>
      <w:r>
        <w:rPr>
          <w:b/>
        </w:rPr>
        <w:t>E. 6.3.2</w:t>
      </w:r>
    </w:p>
    <w:p>
      <w:r>
        <w:t>A l'appui de sa demande de visa, la recourante a produit différents documents établis par une compagnie d'assurances indienne (la P._______ Limited à Mumbai) comme justificatifs d'une assurance médicale de voyage. Conformément à l'art 10 al. 1 aOEV (resp. 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30'000 EUR. Cette assurance doit être valable sur l'ensemble du territoire des Etats Schengen et pendant toute la durée du séjour prévu de l'intéressé (cf., à ce sujet, Manuel des visas I et Compléments, op. cit. p. 89 ss). L'art. 15 par. 5 du code des visas précise que les autorités doivent vérifier si les indemnités dues par la compagnie d'assurances sont récupérables dans un Etat membre de l'UE ou de l'AELE (cf., aussi à ce sujet, Manuel des visas I et Compléments, op. cit. p. 90 et 91 qui précise pour quelles compagnies d'assurance cette condition est remplie ; voir aussi Gregor T. Chatton, Les exceptions à l'assurance obligatoire des soins : quelques points de contact entre le droit public et le droit privé, Revue suisse des assurances sociales et de la prévoyance professionnelle [RSAS] 55/2011 p. 495). Outre le fait que la recourante devrait contracter une nouvelle assurance médicale de voyage pour la durée de son séjour envisagé en Suisse (la période d'assurance indiquée sur les documents produits par l'intéressée étant, entretemps échue), il est douteux que l'assurance-voyage qui avait été conclue par la recourante, prévoyant une couverture de 100'000 USD pour les frais médicaux (y compris pour le rapatriement), remplisse toutes les exigences légales, notamment, quant à la couverture requise et le caractère recouvrable (dans un Etat de l'UE ou de l'AELE) des indemnités dues par la compagnie d'assurances en cas de sinistre médical ou de nécessité d'un rapatriement. Il reviendra donc à l'autorité inférieure de s'assurer que la nouvelle assurance de voyage de la recourante soit conforme aux prescriptions légales en la matière.</w:t>
      </w:r>
    </w:p>
    <w:p>
      <w:r>
        <w:rPr>
          <w:b/>
        </w:rPr>
        <w:t>E. 6.3.3</w:t>
      </w:r>
    </w:p>
    <w:p>
      <w:r>
        <w:t>Pour le surplus, au vu de l'ensemble des pièces financières fournies par la recourante (c'est-à-dire les extraits bancaires auprès de la [banque O._______] et de [la banque N._______] attestant d'un solde de 11'95'574,05 INR [c'est-à-dire environ 17'335,80 francs si l'on retient un taux de change INR/CHF de 0,0145, selon les informations contenues sur le site : http://www.pwebapps.ezv.admin.ch/apps/rates/index.php?lang=2, consulté le 14 mars 2019] au 18.08.2017 et de 52'303,76 INR [c'est-à-dire 758,40 francs] au 19 août 2017, l'extrait d'un compte épargne postal auprès de L._______ attestant d'un montant de 531'818 INR [c'est-à-dire 7'711,40 francs] au 8 août 2017 et les divers dépôts effectués auprès de [la banque N._______] de 1'218'904 INR [c'est-à-dire 17'674,10 francs], 723'330 INR [c'est-à-dire 10'488,30 francs], 65'757 INR [c'est-à-dire 953,50 francs] et 98'636 INR [c'est-à-dire 1'430,20 francs]), il y a en revanche lieu de considérer qu'elle semble bénéficier des moyens financiers suffisants pour la durée de son séjour en Suisse et son retour dans son pays d'origine. Une déclaration de garantie de la part du fils de l'intéressée d'un montant de 8'300 francs, auquel devraient s'ajouter les frais de voyage et celle d'une nouvelle assurance médicale de voyage (cf. arrêt du TAF C-5260/2011 précité ibid.), n'est dès lors pas nécessaire. L'on précisera, au demeurant, que ce dernier ne disposerait pas des moyens nécessaires, si l'on se réfère à l'extrait de compte produit dont il ressort un montant de 3'545,33 francs seulement (cf. dossier TAF act. 1).</w:t>
      </w:r>
    </w:p>
    <w:p>
      <w:r>
        <w:rPr>
          <w:b/>
        </w:rPr>
        <w:t>E. 6.3.4</w:t>
      </w:r>
    </w:p>
    <w:p>
      <w:r>
        <w:t>En conclusion, si l'on excepte la problématique de l'assurance médicale de voyage, qu'il incombera à l'autorité inférieure de soumettre à un examen plus attentif, la recourante se conforme à l'exigence relative à l'existence des moyens financiers nécessaires au séjour envisagé en Suisse.</w:t>
      </w:r>
    </w:p>
    <w:p>
      <w:r>
        <w:rPr>
          <w:b/>
        </w:rPr>
        <w:t>E. 6.4</w:t>
      </w:r>
    </w:p>
    <w:p>
      <w:r>
        <w:t>Il s'agit maintenant de déterminer si le retour de la recourante dans son pays d'origine à l'issue de son séjour en Suisse est suffisamment garanti. A ce titre, il y a lieu de rappeler que, 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entre 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6.5</w:t>
      </w:r>
    </w:p>
    <w:p>
      <w:r>
        <w:t>Selon les informations du Secrétariat d'Etat à l'économie (SECO), environ 70% de la population en Inde vit avec moins de 2 USD par jour et environ 30% est considérée comme « pauvre » par les autorités indiennes. Une population jeune, un revenu en constante augmentation et l'entreprenariat constituent, par contre, un grand potentiel économique (cf. site du SECO : https://www.seco.admin.ch, sous Economie extérieure et coopération économique Relations économiques Information par pays Asie/Océanie, site consulté en mars 2019). Si l'on se réfère aux informations contenues sur le site de la Banque mondiale, il y a lieu de retenir que, malgré les développements sans précédent qu'a connus l'Inde, ce pays fait encore face à de nombreux défis sur le plan socio-économique notamment (cf. site de la Banque mondiale, http://www.worldbank.org/en/country/india/overview, site consulté en mars 2019). Le Tribunal ne saurait donc exclure un risque migratoire de la part des ressortissants indiens (et, par voie de conséquence, potentiellement de la part de la requérante), compte tenu de la situation socio-économique en Inde et des nombreux avantages que présentent la Suisse et les autres Etats membres de l'Espace Schengen, en termes, notamment, de niveau et de qualité de vie, d'emploi, de sécurité et d'infrastructures socio-médicales.</w:t>
      </w:r>
    </w:p>
    <w:p>
      <w:r>
        <w:rPr>
          <w:b/>
        </w:rPr>
        <w:t>E. 6.6</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S'agissant des justificatifs pouvant être produits pour démontrer la volonté de quitter le territoire des Etats Schengen à l'issue du séjour envisagé et la possibilité dont dispose les autorités de requérir le versement d'une caution sur un compte bancaire en Suisse, il y a lieu de renvoyer au considérant 5.4 ci-dessus.</w:t>
      </w:r>
    </w:p>
    <w:p>
      <w:r>
        <w:rPr>
          <w:b/>
        </w:rPr>
        <w:t>E. 6.6.1</w:t>
      </w:r>
    </w:p>
    <w:p>
      <w:r>
        <w:t>Le Tribunal retient que la recourante, âgée de 67 ans, est veuve et retraitée. Il ressort des pièces produites qu'elle est propriétaire d'un appartement à Mumbai, dans lequel elle vit avec ses deux autres fils et leurs familles respectives composées, notamment, de trois enfants (cf. documents relatifs à la propriété de l'appartement M._______, Mumbai et les copies des pièces d'identité des membres de la famille, dossier TAF act. 10 et 14). Selon les déclarations de l'intéressée, ses liens avec l'Inde consisteraient, notamment, en son appartement, dont elle prendrait soin, et en sa famille sur place, puisqu'elle s'occuperait de ses petits-enfants (cf. lettre de la requérante du 13 février 2018, dossier TAF act. 13 et 14). Il ressort des copies du passeport de la recourante qu'elle a obtenu à trois reprises (c'est-à-dire en 2005, 2011 et 2013) un visa pour le Royaume-Uni ainsi qu'un visa pour les Etats-Unis d'Amérique, délivré le 1er octobre 2010 et valable jusqu'au 29 septembre 2020 pour entrées multiples. Il ressort des timbres humides contenus dans son passeport qu'elle n'a pas séjourné dans un pays au-delà de la validité des visas qui lui avaient été délivrés, son dernier voyage ayant eu lieu du 20 novembre 2017 au 24 janvier 2018 aux Etats-Unis (cf. dossier TAF act. 1 et act. 14), pays connaissant une politique migratoire restrictive. Compte tenu de son âge et de son statut de retraitée, la recourante ne fait plus partie du groupe des potentiels migrants économiques et présente, donc, par rapport à ce groupe, un risque migratoire moins élevé. Si l'on se réfère aux pièces financières produites (cf. consid. 6.3.3 supra), l'intéressée bénéficie d'une situation que l'on peut qualifier de confortable en Inde, étant de plus propriétaire d'un appartement. Il y a lieu également d'admettre qu'elle dispose de liens étroits en Inde vis-à-vis des membres de sa famille auprès desquels elle vit sur place, c'est-à-dire ses deux autres fils ainsi que leurs épouses respectives et ses trois petits-enfants (cf. copies des pièces d'identité indiennes des membres de la famille produites, dossier TAF act. 14). Au vu de ses nombreux déplacements au Royaume-Uni et aux Etats-Unis et du fait qu'elle a toujours respecté la durée des visas qui lui avaient été accordés, le risque qu'elle prolonge son séjour au-delà de son séjour envisagé en Suisse doit être relativisé. Par contre, le fait qu'un tiers se soit porté garant de son départ ponctuel (cf. dossier TAF act. 2) n'est pas décisif (cf., à ce sujet, notamment arrêt du TAF F-3979/2017 précité consid. 7.2 et F-4176/2017 du 1er mars 2018 consid. 6). Il appert dès lors qu'un refus d'octroi d'un visa en faveur de l'intéressée ne tient pas suffisamment compte de sa situation personnelle et s'avère disproportionné. Sur le principe, un visa pour une visite familiale doit donc pouvoir être délivré à la recourante.</w:t>
      </w:r>
    </w:p>
    <w:p>
      <w:r>
        <w:rPr>
          <w:b/>
        </w:rPr>
        <w:t>E. 6.7</w:t>
      </w:r>
    </w:p>
    <w:p>
      <w:r>
        <w:t>Afin de tenir compte toutefois du risque résiduel de prolongation du séjour en Suisse en rapport à d'éventuels problèmes médicaux liés à l'âge de la recourante (cf. arrêt du TAF C-6651/2014 du 17 juillet 2015 consid. 6.2), qui est, certes, dans une certaine mesure atténué, compte tenu du fait que l'intéressée a été, assez récemment, en mesure d'effectuer un voyage aux Etats-Unis du 20 novembre 2017 au 24 janvier 2018, le Tribunal considère que la durée du visa à accorder dans le cadre de la présente procédure ne doit pas dépasser 30 jours. De plus, pour garantir un retour ponctuel de l'intéressée dans son pays d'origine, l'octroi du visa devra être conditionné au versement préalable par la recourante d'une caution d'un montant de 30'000 francs auprès d'un établissement bancaire qui sera désigné par l'autorité cantonale compétente en matière de migration, c'est-à-dire, en l'occurrence, le Service de la population du canton de Vaud (ci-après : le SPOP ; cf. arrêt du TAF F-2881/2018 précité consid. 9.2 et F-190/2017 précité consid. 8.3). Par la prise de telles mesures, le risque résiduel de non-retour de l'intéressée dans son pays d'origine reste acceptable. C'est le lieu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6.8</w:t>
      </w:r>
    </w:p>
    <w:p>
      <w:r>
        <w:t>Au vu de ce qui précède, le recours est partiellement admis et la décision du 26 juillet 2017 annulée. La cause est renvoyée à l'autorité inférieure, qui est invitée à autoriser l'entrée en Suisse de la recourante dans le but d'accomplir une visite d'ordre familial jusqu'à 30 jours, après avoir déterminé, notamment, si l'intéressée dispose d'une assurance médicale de voyage conforme aux exigences légales et avoir vérifié que cette dernière ait versé une caution de 30'000 francs auprès de l'établissement bancaire qui aura été désigné par le SPOP.</w:t>
      </w:r>
    </w:p>
    <w:p>
      <w:r>
        <w:rPr>
          <w:b/>
        </w:rPr>
        <w:t>E. 7.1</w:t>
      </w:r>
    </w:p>
    <w:p>
      <w:r>
        <w:t>La recourante ayant obtenu partiellement gain de cause (l'octroi d'un visa en sa faveur étant en principe admis, mais à la condition que la durée de son séjour soit réduit à 30 jours, qu'elle dispose d'une assurance médicale de voyage conforme aux exigences, et verse une caution d'un montant de 30'000 francs sur un compte bancaire en Suisse), des frais réduits de procédure d'un montant de 300 francs sont mis à sa charge (art. 63 al. 1 PA en relation avec les art. 1 à 3 du règlement du 21 février 2008 concernant les frais, dépens et indemnités fixés par le Tribunal administratif fédéral [FITAF, RS 173.320.2]). La recourante ayant versé une avance de frais de 900 francs en date du 22 septembre 2017, un montant de 600 francs lui sera restitué. L'autorité inférieure qui succombe partiellement n'a pas à supporter de frais réduits de procédure (art. 63 al. 2 PA).</w:t>
      </w:r>
    </w:p>
    <w:p>
      <w:r>
        <w:rPr>
          <w:b/>
        </w:rPr>
        <w:t>E. 7.2</w:t>
      </w:r>
    </w:p>
    <w:p>
      <w:r>
        <w:t>La recourante, ayant agi sans mandataire professionnel, ne peut se prévaloir de frais relativement élevés pour la défense de ses intérêts dans le cadre de la présente procédure, de sorte qu'il ne se justifie pas de lui allouer des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