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F-4659/2020 vom 24. September 2020</w:t>
      </w:r>
    </w:p>
    <w:p>
      <w:r>
        <w:t>Bundesverwaltungsgericht, 2020-09-24, DE</w:t>
      </w:r>
    </w:p>
    <w:p>
      <w:r>
        <w:rPr>
          <w:b/>
        </w:rPr>
        <w:t xml:space="preserve">Quelle: </w:t>
      </w:r>
      <w:r>
        <w:t>https://mcp.opencaselaw.ch/entscheid/bvger_F-4659_2020</w:t>
      </w:r>
    </w:p>
    <w:p>
      <w:r>
        <w:t>FR: TAF F-4659/2020 du 24 septembre 2020</w:t>
      </w:r>
    </w:p>
    <w:p>
      <w:r>
        <w:t>IT: TAF F-4659/2020 del 24 settembre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 soweit damit die Aufhebung des Nichteintretensentscheids und der Wegweisung beantragt wird. Die Anträge auf Gewährung des Asyls respektive auf Anordnung der vorläufigen Aufnahme sind vom Anfechtungsgegenstand nicht erfasst, weshalb darauf nicht einzutreten ist.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deren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Nachdem die slowenischen Behörden innerhalb der in Art. 25 Abs. 1 Dublin-III-VO festgelegten Frist dem Wiederaufnahmegesuch des SEM zugestimmt haben, steht die Zuständigkeit Sloweniens fest.</w:t>
      </w:r>
    </w:p>
    <w:p>
      <w:r>
        <w:rPr>
          <w:b/>
        </w:rPr>
        <w:t>E. 4.1</w:t>
      </w:r>
    </w:p>
    <w:p>
      <w:r>
        <w:t>Das Bundesverwaltungsgericht geht in ständiger Rechtsprechung davon aus, dass das slowenische Asylsystem keine systemischen Mängel im Sinn von Art. 3 Abs. 2 zweiter Satz Dublin-III-VO aufweist (vgl. zuletzt Urteile des BVGer D-2962/2020 vom 2. Juli 2020 S. 8 f.; F-3660/2020 vom 22. Juli 2020 E. 4). Folglich ist die Anwendung von Art. 3 Abs. 2 Dublin-III-VO nicht gerechtfertigt. An dieser Einschätzung vermögen die vom Beschwerdeführer unsubstantiiert vorgebrachten und unbelegt gebliebenen Vorwürfe, die slowenischen Behörden würden kein Asylverfahren durchführen und hätten ihn bereits viermal nach Kroatien zurückgeschickt, nichts zu ändern. Nachfolgend ist zu prüfen, ob - wie sinngemäss beantragt - das Selbsteintrittsrecht nach Art. 17 Abs. 1 erster Satz Dublin-III-VO, konkretisiert in Art. 29a Abs. 3 der Asylverordnung 1 vom 11. August 1999 (AsylV 1, SR 142.311), auszuüben ist.</w:t>
      </w:r>
    </w:p>
    <w:p>
      <w:r>
        <w:rPr>
          <w:b/>
        </w:rPr>
        <w:t>E. 4.2</w:t>
      </w:r>
    </w:p>
    <w:p>
      <w:r>
        <w:t>Der Beschwerdeführer macht geltend, aufgrund seiner psychischen Probleme und der daraus resultierenden psychischen Vorbelastung befürchte er bei einer Überstellung nach Slowenien eine Verschlechterung seines Gesundheitszustands und gravierende Folgen für seine Zukunft. Den Vorakten sind jedoch keine Hinweise auf einen akuten Behandlungsbedarf zu entnehmen. Der Beschwerdeführer legt auch keine dahingehenden medizinischen Belege ins Recht. Sollte er - insbesondere aufgrund der geltend gemachten psychischen Beschwerden - auf ärztliche Behandlung angewiesen sein, ist diese auch in Slowenien gewährleistet. Slowenien verfügt über eine ausreichende medizinische Infrastruktur und ist aufgrund der Richtlinie des Europäischen Parlaments und des Rates 2013/33/EU vom 26. Juni 2013 zur Festlegung von Normen für die Aufnahme von Personen, die internationalen Schutz beantragen (sog. Aufnahmerichtlinie) verpflichtet, ihm die allfällig erforderliche Behandlung zukommen zu lassen. Ein Selbsteintritt aus humanitären Gründen ist bei dieser Sachlage nicht angezeigt. Die Vorinstanz ist demnach zu Recht gestützt auf Art. 31a Abs. 1 Bst. b AsylG auf das Asylgesuch des Beschwerdeführers nicht eingetreten und hat zu Recht die Überstellung nach Slowenien angeordnet.</w:t>
      </w:r>
    </w:p>
    <w:p>
      <w:r>
        <w:rPr>
          <w:b/>
        </w:rPr>
        <w:t>E. 5</w:t>
      </w:r>
    </w:p>
    <w:p>
      <w:r>
        <w:t>Nach dem Gesagten ist die Beschwerde abzuweisen, soweit darauf einzutreten ist. Mit dem Urteil in der Sache wird das Gesuch um Erteilung der aufschiebenden Wirkung gegenstandslos und der am 22. September 2020 angeordnete Vollzugsstopp fällt dahin.</w:t>
      </w:r>
    </w:p>
    <w:p>
      <w:r>
        <w:rPr>
          <w:b/>
        </w:rPr>
        <w:t>E. 6</w:t>
      </w:r>
    </w:p>
    <w:p>
      <w:r>
        <w:t>Das Gesuch um Gewährung der unentgeltlichen Rechtspflege ist abzuweisen, da die Begehren - wie sich aus den vorstehenden Erwägungen ergibt - von Anfang an als aussichtslos zu betrachten waren.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