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F-4656/2020 vom 19. Februar 2021</w:t>
      </w:r>
    </w:p>
    <w:p>
      <w:r>
        <w:t>Bundesverwaltungsgericht, 2021-02-19, DE</w:t>
      </w:r>
    </w:p>
    <w:p>
      <w:r>
        <w:rPr>
          <w:b/>
        </w:rPr>
        <w:t xml:space="preserve">Quelle: </w:t>
      </w:r>
      <w:r>
        <w:t>https://mcp.opencaselaw.ch/entscheid/bvger_F-4656_2020</w:t>
      </w:r>
    </w:p>
    <w:p>
      <w:r>
        <w:t>FR: TAF F-4656/2020 du 19 février 2021</w:t>
      </w:r>
    </w:p>
    <w:p>
      <w:r>
        <w:t>IT: TAF F-4656/2020 del 19 febbraio 2021</w:t>
      </w:r>
    </w:p>
    <w:p>
      <w:pPr>
        <w:pStyle w:val="Heading2"/>
      </w:pPr>
      <w:r>
        <w:t>Regeste</w:t>
      </w:r>
    </w:p>
    <w:p>
      <w:r>
        <w:t>Einreiseverbot</w:t>
      </w:r>
    </w:p>
    <w:p>
      <w:pPr>
        <w:pStyle w:val="Heading2"/>
      </w:pPr>
      <w:r>
        <w:t>Erwägungen</w:t>
      </w:r>
    </w:p>
    <w:p>
      <w:r>
        <w:rPr>
          <w:b/>
        </w:rPr>
        <w:t>E. 1.1</w:t>
      </w:r>
    </w:p>
    <w:p>
      <w:r>
        <w:t>Verfügungen des SEM, welche eine Suspendierung eines Einreiseverbots im Sinne von Art. 67 AIG (SR 142.20) zum Gegenstand haben, unterliegen der Beschwerde an das Bundesverwaltungsgericht (Art. 31 ff. VGG i.V.m. Art. 5 VwVG und Art. 112 Abs. 1 AIG).</w:t>
      </w:r>
    </w:p>
    <w:p>
      <w:r>
        <w:rPr>
          <w:b/>
        </w:rPr>
        <w:t>E. 1.2</w:t>
      </w:r>
    </w:p>
    <w:p>
      <w:r>
        <w:t>Das Rechtsmittelverfahren vor dem Bundesverwaltungsgericht richtet sich nach dem VwVG, soweit das VGG nichts anderes bestimmt (Art. 37 VGG).</w:t>
      </w:r>
    </w:p>
    <w:p>
      <w:r>
        <w:rPr>
          <w:b/>
        </w:rPr>
        <w:t>E. 1.3.1</w:t>
      </w:r>
    </w:p>
    <w:p>
      <w:r>
        <w:t>Die angefochtene Verfügung vom 17. August 2020 erging gestützt auf den prinzipiellen Antrag der Beschwerdeführenden vom 29. Juni 2020, das Einreiseverbot zwecks Besuchs des Beschwerdeführers 1 bei der Beschwerdeführerin 2 und seinen minderjährigen Kindern in der Schweiz vorübergehend aufzuheben. Im Wesentlichen setzte sich die Vorinstanz indes mit den konkreteren Suspensionsgründen der Teilnahme des Beschwerdeführers 1 an der Geburt des vierten Kindes sowie der Unterstützung der Beschwerdeführerin 2 während der Schwangerschaft auseinander. Das vierte Kind kam am (...) September 2020 zur Welt; die vorliegende Beschwerde ging beim Gericht (...) ein. Im vorliegenden Verfahren beantragen die Beschwerdeführenden die Suspension des Einreiseverbots vom 27. August 2018 "zwecks Familienbesuchs anlässlich der Geburt des vierten Kindes".</w:t>
      </w:r>
    </w:p>
    <w:p>
      <w:r>
        <w:rPr>
          <w:b/>
        </w:rPr>
        <w:t>E. 1.3.2</w:t>
      </w:r>
    </w:p>
    <w:p>
      <w:r>
        <w:t>Vorliegend kann sich das geltend gemachte Rechtschutzinteresse nach erfolgter Geburt des vierten Kindes nur noch allgemein auf eine Suspension des Einreiseverbots zwecks Familienbesuchs beziehen. Aus prozessökonomischen Gründen ist die vorliegende Beschwerde mit dem gegenüber dem ursprünglichen Gesuch leicht veränderten Fokus bezüglich der Suspensionsgründe dennoch zu behandeln (BVGE 2009/37 E. 1.3.1; Frank Seethaler/Fabia Portmann, in Waldmann/Weissenberger [Hrsg.], Praxiskommentar Verwaltungsverfahrensgesetz, 2. Aufl. 2016, Art. 52 N. 38; André Moser, in Auer/Müller/Schindler [Hrsg.], Kommentar zum Bundesgesetz über das Verwaltungsverfahren, 2. Aufl. 2019, Art. 52 N. 3). Insofern ist auch ein aktuelles und praktisches Rechtschutzinteresse noch gegeben (BGE 141 II 14 E. 4.4). Die Beschwerdeführenden sind daher als Verfügungsadressaten zur Beschwerde legitimiert (Art. 48 Abs. 1 VwVG).</w:t>
      </w:r>
    </w:p>
    <w:p>
      <w:r>
        <w:rPr>
          <w:b/>
        </w:rPr>
        <w:t>E. 1.4</w:t>
      </w:r>
    </w:p>
    <w:p>
      <w:r>
        <w:t>Auf die frist- und formgerecht eingereichte Beschwerde ist somit einzutreten (Art. 50 und 52 VwVG). Das Bundesverwaltungsgericht entscheidet in der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Entscheides (vgl. BVGE 2014/1 E. 2; 2011/43 E. 6.1).</w:t>
      </w:r>
    </w:p>
    <w:p>
      <w:r>
        <w:rPr>
          <w:b/>
        </w:rPr>
        <w:t>E. 3.1</w:t>
      </w:r>
    </w:p>
    <w:p>
      <w:r>
        <w:t>Die Vorinstanz kann ausnahmsweise aus humanitären oder anderen wichtigen Gründen ein Einreiseverbot vorübergehend ausserkraftsetzen (Art. 67 Abs. 5 AIG). Als wichtige Gründe für eine Suspension gelten unter anderem der Besuch von nahen Familienmitgliedern an hohen Feiertagen oder bei bedeutenden Familienanlässen, wie Hochzeit oder Taufe (vgl. Weisungen AIG des Staatssekretariats für Migration vom Oktober 2013 [Stand 1. Januar 2021, &lt; www.sem.admin.ch &gt; Publikationen &amp; Service &gt; Weisungen und Kreisschreiben &gt; I. Ausländerbereich, abgerufen am 11.02.2020; nachfolgend: Weisungen AIG], S. 217).</w:t>
      </w:r>
    </w:p>
    <w:p>
      <w:r>
        <w:rPr>
          <w:b/>
        </w:rPr>
        <w:t>E. 3.2</w:t>
      </w:r>
    </w:p>
    <w:p>
      <w:r>
        <w:t>Der Entscheid über die vorübergehende Aufhebung eines Einreiseverbots hat in pflichtgemässer Ausübung des Ermessens zu ergehen und vor dem Grundsatz der Verhältnismässigkeit standzuhalten. Erforderlich ist eine einzelfallbezogene Interessenabwägung unter Berücksichtigung sämtlicher wesentlicher Umstände. Ausgangspunkt der Überlegungen bilden die Stellung der verletzten oder gefährdeten Rechtsgüter, die Besonderheiten des ordnungswidrigen Verhaltens, die persönlichen Verhältnisse der gesuchstellenden Person und das von ihr ausgehende, zukünftige Gefährdungspotenzial (Art. 5 Abs. 2 BV, Art. 96 AIG; BGE 139 II 121 6.5.1; BVGE 2017 VII/2 E. 4.5; 2016/33 E. 9.1 ff.; 2014/20 E. 8.1).</w:t>
      </w:r>
    </w:p>
    <w:p>
      <w:r>
        <w:rPr>
          <w:b/>
        </w:rPr>
        <w:t>E. 3.3</w:t>
      </w:r>
    </w:p>
    <w:p>
      <w:r>
        <w:t>Abzuwägen sind namentlich die Gründe, die zum Einreiseverbot geführt haben und das daraus abzuleitende Interesse an einem Schutz der öffentlichen Sicherheit und Ordnung gegenüber den privaten Interessen der gesuchstellenden Person an einer zeitweisen Ausserkraftsetzung der Massnahme (Art. 67 Abs. 5 AIG; vgl. auch Botschaft zum Bundesgesetz über die Ausländerinnen und Ausländer vom 8. März 2002, BBl 2002 3709, 3814; Urteil des BVGer F-617/2016 vom 4. Juli 2016 E. 3.3). Je schwerer die Umstände wiegen, die zur Verhängung des Einreiseverbots geführt haben, desto gewichtiger und augenfälliger müssen sich die Interessen des Betroffenen an der vorübergehenden Ausserkraftsetzung des Einreiseverbots darstellen (BVGE 2011/48 E. 6.2; statt vieler: Urteil des BVGer F-6707/2019 vom 30. September 2020 E. 3, m.w.H.).</w:t>
      </w:r>
    </w:p>
    <w:p>
      <w:r>
        <w:rPr>
          <w:b/>
        </w:rPr>
        <w:t>E. 3.4</w:t>
      </w:r>
    </w:p>
    <w:p>
      <w:r>
        <w:t>Geht es um den Besuch von Familienangehörigen mit gefestigtem Aufenthaltsrecht in der Schweiz, sind - je nach Konstellation - in der Interessenabwägung insbesondere die Ansprüche nach Art. 13 BV beziehungsweise Art. 8 EMRK sowie die Garantien des Übereinkommens vom 20. November 1989 über die Rechte des Kindes (KRK, SR 0.107) zu berücksichtigen (statt vieler: Urteile des BVGer F-5034/2018 vom 1. November 2018 E. 5.1; F-7081/2016 und F-66/2017 vom 5. Oktober 2018 E. 8.2; C-3728/2015 vom 22. Oktober 2015 E. 3.2; C-7261/2014 vom 23. September 2015 E. 4.4; je m.H.).</w:t>
      </w:r>
    </w:p>
    <w:p>
      <w:r>
        <w:rPr>
          <w:b/>
        </w:rPr>
        <w:t>E. 4.1</w:t>
      </w:r>
    </w:p>
    <w:p>
      <w:r>
        <w:t>Während seines Aufenthaltes in der Schweiz wurde der Beschwerdeführer 1 wiederholt straffällig. Unter anderem wurden ihm mehrere Verstösse gegen das Betäubungsmittelgesetz angelastet, weshalb er zu insgesamt über zweieinhalb Jahren bedingter und unbedingter Freiheitsstrafe verurteilt wurde. Bei Drogendelikten aus rein finanziellen Motiven ist zum Schutze der Öffentlichkeit selbst ein geringes Restrisiko weiterer Störungen nicht in Kauf zu nehmen (BGE 139 I 31 E. 2.3.2; 139 I 145 E. 2.5; statt vieler: Urteil des BVGer F-867/2018 vom 16. November 2020 E. 8.2). Das Einreiseverbot erging denn auch in Annahme einer schwerwiegenden Gefährdung der öffentlichen Sicherheit und Ordnung. Tritt hinzu, dass der Beschwerdeführer 1 vor seiner Ausschaffung wiederholten Ausreiseaufforderungen nicht nachkam und unrechtmässig in der Schweiz verblieb. Damit verstiess er nach Erlass des Einreiseverbotes am 27. August 2018 erneut gegen die öffentliche Sicherheit und Ordnung. Das Verhalten des Beschwerdeführers 1 muss daher als gewichtiges Indiz dafür angesehen werden, dass er bis zu seiner zwangsweisen Ausschaffung nicht gewillt war, sich an die Rechtsordnung, geschweige denn an behördliche Anordnungen zu halten (BVGE 2017 VII/2 E. 4.4). Dementsprechend kann auch nicht als gesichert erachtet werden, dass der Beschwerdeführer 1, nur gut ein Jahr später erneut in die Schweiz eingereist, das Land anschliessend wieder ordnungsgemäss verlassen würde (vgl. BVGE 2011/48 E. 6.3.7; Urteil C-3728/2015 E. 4.2). Das Interesse an einer zumindest während gewisser Zeit möglichst uneingeschränkten Wirksamkeit der gegen ihn bestehenden Fernhaltemassnahme ist als erheblich einzustufen. Daran vermag die Darstellung der Beschwerdeführenden nichts zu ändern, wonach der Beschwerdeführer 1 in der Zwischenzeit in Benin mit einem Partner zusammen einen Kleiderhandel betreibe und über ein regelmässiges Einkommen verfüge.</w:t>
      </w:r>
    </w:p>
    <w:p>
      <w:r>
        <w:rPr>
          <w:b/>
        </w:rPr>
        <w:t>E. 4.2</w:t>
      </w:r>
    </w:p>
    <w:p>
      <w:r>
        <w:t>Die von den Beschwerdeführenden geltend gemachte Straffreiheit sowie der bei den Akten liegende leere Strafregisterauszug der Republik Benin vom 21. Juli 2020 (SEM-act. 9) bleiben ohne Relevanz. Das Wohlverhalten des Beschwerdeführers 1 war bisher lediglich von kurzer Dauer und kann angesichts seines schwer getrübten straf- und ausländerrechtlichen Leumunds nicht schon überzeugen (vgl. BVGE 2014/20 E. 5.4; Urteil des BVGer F-2888/2018 vom 1. Februar 2021 E. 5.5; Urteil F-617/2016 E. 3.5; Urteil F-7081/2016 und F-66/2017 E. 8.2; Weisungen AIG, S. 218).</w:t>
      </w:r>
    </w:p>
    <w:p>
      <w:r>
        <w:rPr>
          <w:b/>
        </w:rPr>
        <w:t>E. 4.3</w:t>
      </w:r>
    </w:p>
    <w:p>
      <w:r>
        <w:t>Neben das Interesse des Schutzes der öffentlichen Sicherheit und Ordnung tritt das general- und spezialpräventiv motivierte Interesse, mehrjährige Einreiseverbote nicht schon relativ kurze Zeit nach erfolgter Ausreise zeitlich befristet auszusetzen. Ganz allgemein gilt, dass die Wirkung von Einreiseverboten nicht mittels Suspensionen ausgehöhlt werden soll (BVGE 2013/4 E. 7.4.3; Urteil F-6707/2019 E. 5.4 m.H.). In diesem Sinne ist die vorinstanzliche Praxis zu verstehen, die Suspension eines langjährigen Einreiseverbots während der ersten drei Jahre nach der Ausreise nur bei Vorliegen besonders gewichtiger familiärer Gründe in Erwägung zu ziehen (Weisungen AIG, S. 217; Urteil F-6707/2019 E. 3).</w:t>
      </w:r>
    </w:p>
    <w:p>
      <w:r>
        <w:rPr>
          <w:b/>
        </w:rPr>
        <w:t>E. 4.4</w:t>
      </w:r>
    </w:p>
    <w:p>
      <w:r>
        <w:t>Den vorstehend erläuterten gewichtigen Interessen an einer Verweigerung einer frühzeitigen Ausserkraftsetzung des Einreiseverbots zum Schutze der öffentlichen Sicherheit und Ordnung sind die gegenteiligen privaten Interessen der Beschwerdeführenden gegenüberzustellen. Das Bundesverwaltungsgericht verkennt dabei nicht, dass der persönliche Kontakt des Beschwerdeführers 1 zu seinen in der Schweiz lebenden Kindern, und insbesondere zu seinem neugeborenen vierten Kind, grundsätzlich von besonderer Bedeutung ist. Das Wohl der Kinder ist denn auch vorrangig zu berücksichtigen (BVGE 2013/4 E. 7.4.4). Weder verschaffen aber die aus der KRK abgeleiteten Rechte einen über Art. 8 EMRK hinausgehenden Anspruch auf Einreise (BGE 143 I 21 E. 5.5.2; 139 I 315 E. 2.4; Urteil des BVGer F-2213/2018 vom 1. Februar 2021 E. 7.2.3), noch gilt das Recht auf Familienleben gemäss Art. 8 EMRK absolut (Art. 8 Ziff. 2 EMRK; BGE 143 I 21 E. 5.1; 135 I 143 E. 2.1; BVGE 2011/48 E. 6.3.3). Soweit die Beschwerdeführenden unter Berufung auf das Urteil des BVGer F-4029/2016 vom 22. März 2017 (E. 7.2.2) vorbringen, bei Betroffenen mit in der Schweiz lebenden Kindern seien regelmässige Suspendierungen bereits im ersten Jahr des laufenden Einreiseverbots geboten, sind sie deshalb darauf aufmerksam zu machen, dass der Entscheid über eine zeitweise Ausserkraftsetzung eines Einreiseverbots stets eine umfassende Interessenabwägung im Einzelfall voraussetzt (siehe oben E. 3; Urteil des BVGer F-1876/2020 vom 9. Oktober 2020 E. 6.4 m.H.; Urteil F-7081/2016 und F-66/2017 E. 8.2).</w:t>
      </w:r>
    </w:p>
    <w:p>
      <w:r>
        <w:rPr>
          <w:b/>
        </w:rPr>
        <w:t>E. 4.5</w:t>
      </w:r>
    </w:p>
    <w:p>
      <w:r>
        <w:t>Was die von den Beschwerdeführenden geltend gemachten persönlichen Interessen an einer kurzfristigen Ausserkraftsetzung des Einreiseverbots betrifft, so sind diese in mehrfacher Hinsicht zu relativieren:</w:t>
      </w:r>
    </w:p>
    <w:p>
      <w:r>
        <w:rPr>
          <w:b/>
        </w:rPr>
        <w:t>E. 4.5.1</w:t>
      </w:r>
    </w:p>
    <w:p>
      <w:r>
        <w:t>Zunächst gilt festzustellen, dass die Familie den Beschwerdeführer 1 nicht davon abhielt, Straftaten zu begehen. So hatte er seine Familienwohnung sogar in Anwesenheit seiner Kinder Drogenkurieren als Umschlagsplatz zur Verfügung gestellt (Urteil des Kriminalgerichts des Kantons Luzern vom 2. Februar 2016 [LU-act. 67/350 ff.], S. 6). Es kommt hinzu, dass der Beschwerdeführer 1 im Zeitpunkt seiner Heirat im Jahre 2010 bereits wegen Drogendelikten verurteilt war (vgl. Urteil 2C_393/2018 E. 2.3). Im Zeitpunkt der Geburt des vierten Kindes stand das Einreiseverbot vom 27. August 2018 bereits über ein Jahr in Kraft. Die Beschwerdeführenden wussten daher stets um die Konsequenzen strafbaren Verhaltens des Beschwerdeführers 1 und mussten mit gravierenden Einschränkungen des Familienlebens rechnen (Urteil 2C_393/2018 E. 2.3).</w:t>
      </w:r>
    </w:p>
    <w:p>
      <w:r>
        <w:rPr>
          <w:b/>
        </w:rPr>
        <w:t>E. 4.5.2</w:t>
      </w:r>
    </w:p>
    <w:p>
      <w:r>
        <w:t>Schliesslich war es der Beschwerdeführerin 2 im Dezember 2019 möglich, mit den drei älteren Kindern den Beschwerdeführer 1 für mehrere Monate in Benin zu besuchen. Somit ist davon auszugehen, dass die Beschwerdeführenden Familienleben grundsätzlich auch ausserhalb der Schweiz pflegen können (BVGE 2011/48 E. 6.3.2). Das Bundesgericht hielt in seinem Entscheid vom 5. Juli 2018 sogar fest, der Beschwerdeführerin 2 stehe es frei, ihrem Ehemann mit den Kindern nach Nigeria zu folgen (Urteil 2C_393/2018 E. 2.3). Demzufolge erscheint bereits fraglich, ob sich die Beschwerdeführenden überhaupt auf den Schutz von Art. 8 EMRK berufen können (BGE 143 I 21 E. 5.1; 116 Ib 353 E. 3c; BVGE 2011/48 E. 6.3.5).</w:t>
      </w:r>
    </w:p>
    <w:p>
      <w:r>
        <w:rPr>
          <w:b/>
        </w:rPr>
        <w:t>E. 4.6</w:t>
      </w:r>
    </w:p>
    <w:p>
      <w:r>
        <w:t>Angesichts der im Falle des Beschwerdeführers 1 momentan noch anzunehmenden schwerwiegenden Gefährdung der öffentlichen Sicherheit und Ordnung und dem damit einhergehenden erheblichen Fernhalteinteresse erscheint der persönliche Kontakt zur Beschwerdeführerin 2 und den Kindern nicht als (besonders) gewichtiger Grund, der eine vorübergehende Aufhebung des Einreiseverbots zu rechtfertigen vermag. Nicht anders hätte es sich im Übrigen betreffend den Suspensionsgrund der Teilnahme an der Geburt des vierten Kindes verhalten. Zwar kann die Geburt eines Kindes im Gegensatz zu alltäglichen Aktivitäten und Kontakten im Rahmen eines klassischen Familienlebens durchaus ein ausserordentlich wichtiges Ereignis darstellen, das schon früh nach der Ausreise zur zeitweiligen Aufhebung eines Einreiseverbots führen könnte. Da der Beschwerdeführer 1 aber mehrfach wegen Drogenkriminalität zu Freiheitsstrafen verurteilt werden musste, er diversen Aufforderungen zur Ausreise aus der Schweiz nicht nachgekommen ist und es überdies die Interessen der Spezial- sowie der Generalprävention zu berücksichtigen gilt (siehe oben E. 4.3), überwiegt derzeit und bis auf Weiteres das Fernhalteinteresse den Wunsch der Beschwerdeführenden an der Verwirklichung zeitweiligen Familienlebens in der Schweiz. Die Einschränkung in den persönlichen Kontakten kann auch deshalb nicht erheblich ins Gewicht fallen, weil sie vom Beschwerdeführer 1 überwiegend selbst verschuldet und in Kauf genommen wurde. Demzufolge kommt eine Suspendierung des Einreiseverbots zum jetzigen Zeitpunkt nicht in Betracht.</w:t>
      </w:r>
    </w:p>
    <w:p>
      <w:r>
        <w:rPr>
          <w:b/>
        </w:rPr>
        <w:t>E. 5</w:t>
      </w:r>
    </w:p>
    <w:p>
      <w:r>
        <w:t>Eine wertende Gewichtung der involvierten Interessen ergibt somit, dass die Vorinstanz das Gesuch vom 29. Juni 2020 um Suspendierung des Einreiseverbots zu Recht abgewiesen hat. Die angefochtene Verfügung hält den bundes- und völkerrechtlichen Anforderungen stand und ist zu schützen. Die Beschwerde ist abzuweisen.</w:t>
      </w:r>
    </w:p>
    <w:p>
      <w:r>
        <w:rPr>
          <w:b/>
        </w:rPr>
        <w:t>E. 6</w:t>
      </w:r>
    </w:p>
    <w:p>
      <w:r>
        <w:t>Entsprechend dem Ausgang des Verfahrens sind die Verfahrenskosten den Beschwerdeführenden aufzuerlegen (Art. 63 Abs. 1 VwVG i.V.m. Art. 1 ff. des Reglements vom 21. Februar 2008 über die Kosten und Entschädigungen vor dem Bundesverwaltungsgericht [VGKE, SR 173.320.2]). Ein Gesuch der Beschwerdeführenden vom 18. September 2020 um Gewährung der unentgeltlichen Rechtspflege wies das Bundesverwaltungsgericht am 11. November 2020 ab.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