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F-464/2021 vom 8. Februar 2021</w:t>
      </w:r>
    </w:p>
    <w:p>
      <w:r>
        <w:t>Bundesverwaltungsgericht, 2021-02-08, DE</w:t>
      </w:r>
    </w:p>
    <w:p>
      <w:r>
        <w:rPr>
          <w:b/>
        </w:rPr>
        <w:t xml:space="preserve">Quelle: </w:t>
      </w:r>
      <w:r>
        <w:t>https://mcp.opencaselaw.ch/entscheid/bvger_F-464_2021</w:t>
      </w:r>
    </w:p>
    <w:p>
      <w:r>
        <w:t>FR: TAF F-464/2021 du 8 février 2021</w:t>
      </w:r>
    </w:p>
    <w:p>
      <w:r>
        <w:t>IT: TAF F-464/2021 del 8 febbraio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stellt subeventualiter Antrag auf Rückweisung der Angelegenheit an die Vorinstanz wegen Verletzung seines Anspruchs auf rechtliches Gehör. Er unterlässt es aber, irgendwelche Ausführungen dazu anzubringen und entsprechende Mängel sind in den Akten der Vorinstanz auch nicht erkennbar. Die verfahrensrechtliche Rüge erweist sich solchermassen als unbegründet.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23 -25 Dublin-III-VO) findet grundsätzlich keine (neue) Zuständigkeitsprüfung nach Kapitel III Dublin-III-VO mehr statt (vgl. zum Ganzen: BVGE 2017 VI/5 E. 6.2 und 8.2.1).</w:t>
      </w:r>
    </w:p>
    <w:p>
      <w:r>
        <w:rPr>
          <w:b/>
        </w:rPr>
        <w:t>E. 4.3</w:t>
      </w:r>
    </w:p>
    <w:p>
      <w:r>
        <w:t>Wie bereits erwähnt wurde der Beschwerdeführer gemäss den Einträgen in der Eurodac-Datenbank vor seiner Weiterreise in die Schweiz am 27. Juni 2020 in Deutschland als Asylgesuchsteller erfasst. Das Wiederaufnahmegesuch der Vorinstanz hiessen die deutschen Behörden im Rahmen des Remonstrationsverfahrens am 21. Januar 2021 gut. Die grundsätzliche Zuständigkeit Deutschlands zur Durchführung des Asyl- und Wegweisungsverfahrens ist somit gegeben. Sie lässt sich mit dem blossen Einwand des Beschwerdeführers, wonach er in Deutschland kein Asylgesuch gestellt habe, nicht schon in Frage stellen.</w:t>
      </w:r>
    </w:p>
    <w:p>
      <w:r>
        <w:rPr>
          <w:b/>
        </w:rPr>
        <w:t>E. 5.1</w:t>
      </w:r>
    </w:p>
    <w:p>
      <w:r>
        <w:t>Nach ständiger Rechtsprechung des Bundesverwaltungsgerichts weist das Asylverfahren in Deutschland keine systemischen Schwachstellen im Sinn von Art. 3 Abs. 2 Dublin-III-VO auf (vgl. anstelle vieler Urteil des BVGer F-380/2021 vom 2. Februar 2021 E. 5.2 m.H.). Deutschland ist Signatarstaat der EMRK, des Übereinkommens vom 10. Dezember 1984 gegen Folter und andere grausame, unmenschliche oder erniedrigende Behandlung oder Strafe (FoK, SR 0.105) und des Abkommens vom 28. Juli 1951 über die Rechtstellung der Flüchtlinge (FK, SR 0.142.30) sowie des Zusatzprotokolls der FK vom 3. Januar 1967 (SR 0.142.301) und kommt seinen diesbezüglichen völkerrechtlichen Verpflichtungen nach. Auch ist anzunehmen,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Aufgrund des nicht näher erläuterten Einwandes des Beschwerdeführers, wonach er in Deutschland keine Unterkunft gehabt habe, ist nicht davon auszugehen, dass Deutschland ihm gezielt und in erheblichem Masse die ihm gemäss Aufnahmerichtlinie zustehenden minimalen Lebensbedingungen vorenthalten würde. Gestützt auf die Schilderungen des Beschwerdeführers im erstinstanzlichen Verfahren ist denn auch nicht davon auszugehen, Deutschland habe ihm eine richtlinienkonforme Unterbringung verweigert. Vielmehr sagte er dort aus, er habe eine ihm zugewiesene Asylunterkunft aus eigenen Stücken verlassen. Sollte es sich dennoch anders verhalten, bestünde die Möglichkeit, an die zuständigen deutschen Behörden zu gelangen und die zustehenden Aufnahmebedingungen auf dem Rechtsweg einzufordern (vgl. Art. 26 Aufnahmerichtlinie).</w:t>
      </w:r>
    </w:p>
    <w:p>
      <w:r>
        <w:rPr>
          <w:b/>
        </w:rPr>
        <w:t>E. 5.2</w:t>
      </w:r>
    </w:p>
    <w:p>
      <w:r>
        <w:t>Bleibt zu prüfen, ob die Vorinstanz trotz der grundsätzlichen Zuständigkeit Deutschlands das Selbsteintrittsrecht nach Art. 17 Abs. 1 erster Satz Dublin-III-VO, konkretisiert in Art. 29a Abs. 3 AsylV 1, hätte ausüben müssen.</w:t>
      </w:r>
    </w:p>
    <w:p>
      <w:r>
        <w:rPr>
          <w:b/>
        </w:rPr>
        <w:t>E. 5.3</w:t>
      </w:r>
    </w:p>
    <w:p>
      <w:r>
        <w:t>Der Beschwerdeführer macht geltend, gegen seine Rückführung in die Niederlande (recte: nach Deutschland) würden gewichtige medizinische Gründe sprechen. Er verweist auf drei der Beschwerde beigelegte ärztlichen Berichte [...] vom 11., 20. und 25. Januar 2021 und die darin aufgelisteten Diagnosen. Er befinde sich gesundheitlich in einem schlechten Zustand und sei auf die Medikamente Zentel, Dafalgan, Relaxane und Pantoprazol angewiesen.</w:t>
      </w:r>
    </w:p>
    <w:p>
      <w:r>
        <w:rPr>
          <w:b/>
        </w:rPr>
        <w:t>E. 5.3.1</w:t>
      </w:r>
    </w:p>
    <w:p>
      <w:r>
        <w:t>Ein Verstoss gegen Art. 3 EMRK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5.3.2</w:t>
      </w:r>
    </w:p>
    <w:p>
      <w:r>
        <w:t>Zwar leidet der Beschwerdeführer an verschiedensten gesundheitlichen Beeinträchtigungen. Diese sind indes weder einzeln noch in ihrer Gesamtheit als derart schwerwiegend zu betrachten, dass von einer Überstellung nach Deutschland abgesehen werden müsste. Dies gilt insbesondere auch in Bezug auf die diagnostizierte rechtsseitige Muskelschwäche, deren neurologische Abklärung die Vorinstanz für ihren Entscheid nicht abgewartet hat. Deutschland verfügt über eine mit der Schweiz in allen Bereichen vergleichbare medizinische Infrastruktur (statt vieler: Urteil des BVGer E-3703/2020 vom 29. Juli 2020 E. 7.1.2). Es liegen aber auch keine Hinweise dafür vor, dass Deutschland dem Beschwerdeführer eine adäquate medizinische Behandlung verweigern könnte.</w:t>
      </w:r>
    </w:p>
    <w:p>
      <w:r>
        <w:rPr>
          <w:b/>
        </w:rPr>
        <w:t>E. 5.3.3</w:t>
      </w:r>
    </w:p>
    <w:p>
      <w:r>
        <w:t>Die schweizerischen Behörden, die mit dem Vollzug der angefochtenen Verfügung beauftragt sind, werden den festgestellten gesundheitlichen Beeinträchtigungen bei der Bestimmung der konkreten Modalitäten der Überstellung Rechnung tragen und die deutschen Behörden vorgängig in geeigneter Weise über besondere Bedürfnisse informieren (Art. 31 f. Dublin-III-VO). Medikamente können dem Beschwerdeführer auf Vorrat mitgegeben werden.</w:t>
      </w:r>
    </w:p>
    <w:p>
      <w:r>
        <w:rPr>
          <w:b/>
        </w:rPr>
        <w:t>E. 5.4</w:t>
      </w:r>
    </w:p>
    <w:p>
      <w:r>
        <w:t>Andere Gründe, die der Schweiz Anlass geben könnten, von ihrem Selbsteintrittsrecht nach Art. 17 Abs. 1 Satz 1 Dublin-III-VO Gebrauch zu machen, werden weder geltend gemacht noch sind solche ersichtlich. Dabei gilt auch zu beachten, dass die Dublin-III-VO den Schutzsuchenden kein Recht einräumt, den ihren Antrag prüfenden Staat selber auszuwählen (vgl. auch BVGE 2010/45 E. 8.3).</w:t>
      </w:r>
    </w:p>
    <w:p>
      <w:r>
        <w:rPr>
          <w:b/>
        </w:rPr>
        <w:t>E. 6</w:t>
      </w:r>
    </w:p>
    <w:p>
      <w:r>
        <w:t>Die Vorinstanz ist demnach zu Recht gestützt auf Art. 31a Abs. 1 Bst. b AsylG auf das Asylgesuch des Beschwerdeführers nicht eingetreten und hat in Anwendung von Art. 44 AsylG die Überstellung nach Deutschland angeordnet. Unter diesen Umständen sind allfällige Vollzugshindernisse gemäss Art. 83 Abs. 3 und 4 AIG (SR 142.20) nicht mehr zu prüfen, da das Fehlen von Überstellungshindernissen bereits Voraussetzung des Nichteintretensentscheides gemäss Art. 31a Abs. 1 Bst. b AsylG ist (vgl. BVGE 2015/18 E. 5.2 m.w.H.).</w:t>
      </w:r>
    </w:p>
    <w:p>
      <w:r>
        <w:rPr>
          <w:b/>
        </w:rPr>
        <w:t>E. 7</w:t>
      </w:r>
    </w:p>
    <w:p>
      <w:r>
        <w:t>Die Beschwerde ist aus den dargelegten Gründen abzuweisen und die Verfügung der Vorinstanz ist zu bestätigen.</w:t>
      </w:r>
    </w:p>
    <w:p>
      <w:r>
        <w:rPr>
          <w:b/>
        </w:rPr>
        <w:t>E. 7.1</w:t>
      </w:r>
    </w:p>
    <w:p>
      <w:r>
        <w:t>Mit dem vorliegenden Urteil fällt der am 3. Februar 2021 angeordnete Vollzugsstopp dahin. Das Gesuch um Erteilung der aufschiebenden Wirkung ist gegenstandslos geworden.</w:t>
      </w:r>
    </w:p>
    <w:p>
      <w:r>
        <w:rPr>
          <w:b/>
        </w:rPr>
        <w:t>E. 7.2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