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F-4643/2018 vom 25. Februar 2019</w:t>
      </w:r>
    </w:p>
    <w:p>
      <w:r>
        <w:t>Bundesverwaltungsgericht, 2019-02-25, DE</w:t>
      </w:r>
    </w:p>
    <w:p>
      <w:r>
        <w:rPr>
          <w:b/>
        </w:rPr>
        <w:t xml:space="preserve">Quelle: </w:t>
      </w:r>
      <w:r>
        <w:t>https://mcp.opencaselaw.ch/entscheid/bvger_F-4643_2018</w:t>
      </w:r>
    </w:p>
    <w:p>
      <w:r>
        <w:t>FR: TAF F-4643/2018 du 25 février 2019</w:t>
      </w:r>
    </w:p>
    <w:p>
      <w:r>
        <w:t>IT: TAF F-4643/2018 del 25 febbraio 2019</w:t>
      </w:r>
    </w:p>
    <w:p>
      <w:pPr>
        <w:pStyle w:val="Heading2"/>
      </w:pPr>
      <w:r>
        <w:t>Regeste</w:t>
      </w:r>
    </w:p>
    <w:p>
      <w:r>
        <w:t>Akteneinsicht</w:t>
      </w:r>
    </w:p>
    <w:p>
      <w:pPr>
        <w:pStyle w:val="Heading2"/>
      </w:pPr>
      <w:r>
        <w:t>Erwägungen</w:t>
      </w:r>
    </w:p>
    <w:p>
      <w:r>
        <w:rPr>
          <w:b/>
        </w:rPr>
        <w:t>E. 1.1</w:t>
      </w:r>
    </w:p>
    <w:p>
      <w:r>
        <w:t>Von der Vorinstanz erlassene, verfahrensabschliessende Verfügungen bezüglich Einsicht in die Akten von Verfahren betreffend Ausstellung von Pässen für ausländische Personen sind beim Bundesverwaltungsgericht anfechtbar (vgl. Art. 31 ff. VGG i.V.m. Art. 5 VwVG). Das Rechtsmittelverfahren richtet sich nach dem VwVG, soweit das VGG nichts anderes bestimmt (Art. 37 VGG).</w:t>
      </w:r>
    </w:p>
    <w:p>
      <w:r>
        <w:rPr>
          <w:b/>
        </w:rPr>
        <w:t>E. 1.2</w:t>
      </w:r>
    </w:p>
    <w:p>
      <w:r>
        <w:t>Die Beschwerdeführenden sind zur Beschwerde legitimiert (vgl. Art. 48 Abs. 1 VwVG). Auf die frist- und formgerecht eingereichte Beschwerde ist einzutreten (vgl. Art. 50 und 52 VwVG).</w:t>
      </w:r>
    </w:p>
    <w:p>
      <w:r>
        <w:rPr>
          <w:b/>
        </w:rPr>
        <w:t>E. 1.3</w:t>
      </w:r>
    </w:p>
    <w:p>
      <w:r>
        <w:t>In der vorliegenden Angelegenheit entscheidet das Bundesverwaltungsgericht endgültig (vgl. Art. 83 Bst. c Ziff. 6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w:t>
      </w:r>
    </w:p>
    <w:p>
      <w:r>
        <w:rPr>
          <w:b/>
        </w:rPr>
        <w:t>E. 3.1</w:t>
      </w:r>
    </w:p>
    <w:p>
      <w:r>
        <w:t>Das Recht auf Akteneinsicht bildet einen Teilgehalt des verfassungsmässigen Anspruchs auf rechtliches Gehör (vgl. Art. 29 Abs. 2 BV) und ist für das Verwaltungsverfahren in den Art. 26 - 28 VwVG geregelt. Es soll den Parteien ermöglichen, sich über alle für das Verfahren wesentlichen Unterlagen zu orientieren. Nur in Kenntnis aller entscheidrelevanten Aktenstücke ist es den Parteien möglich, ihre Interessen wirksam wahrzunehmen (vgl. Kölz/Häner/Bertschi, Verwaltungsverfahren und Verwaltungsrechtspflege des Bundes, 3. Aufl. 2013, N 493 m.H.; Michele Albertini, Der verfassungsmässige Anspruch auf rechtliches Gehör im Verwaltungsverfahren des modernen Staates, 2000, S. 225; Häusler/Ferrari-Visca, Das Recht auf Akteneinsicht im Verwaltungs- und Verwaltungsjustizverfahren, in: Jusletter vom 8. August 2011). Das Recht auf Akteneinsicht betrifft somit sämtliche Akten, die geeignet sind, als Grundlage für den Entscheid in der entsprechenden Sache zu dienen bzw. den Ausgang des Verfahrens zu beeinflussen (vgl. Kölz/Häner/Bertschi, a.a.O. N 494 m.H.; Albertini, a.a.O., S. 226 f.; Waldmann/Oeschler, in: Waldmann/Weissenberger [Hrsg.], Praxiskommentar VwVG, 2. Aufl. 2016, N 60 ff. zu Art. 26 VwVG).</w:t>
      </w:r>
    </w:p>
    <w:p>
      <w:r>
        <w:rPr>
          <w:b/>
        </w:rPr>
        <w:t>E. 3.2</w:t>
      </w:r>
    </w:p>
    <w:p>
      <w:r>
        <w:t>Die Vorinstanz stellt sich auf den Standpunkt, die mit "B" gekennzeichneten Aktenstücke seien für ihre Verfügung nicht relevant. In ihrer Vernehmlassung führt sie aus, beim Aktenstück 6/4 handle es sich um eine summarische und unverbindliche Würdigung des Falles, deren entscheidrelevanter Inhalt den Verfügungen vom 13. Juli 2018 entnommen werden könne. Bei den Aktenstücken 7/1, 8/1, 9/1, 10/1 und 11/1 handle es sich um Prüfberichte betreffend die Echtheit von Reisedokumenten. Diese seien für die angefochtene Verfügung nicht entscheidrelevant; im Übrigen würde die Offenlegung dieser Berichte dem öffentliche Interesse daran, die Prüfmethoden weiterhin anwenden zu können, widersprechen. Bei den Aktenstücken 12/3, 13/2, 14/2, 15/1, 16/1 und 19/1 handle es sich um Notizen und Abklärungen zu verwaltungsinternen Prozessabläufen und Zuständigkeiten, die ebenfalls für die angefochtene Verfügung nicht entscheidrelevant seien.</w:t>
      </w:r>
    </w:p>
    <w:p>
      <w:r>
        <w:rPr>
          <w:b/>
        </w:rPr>
        <w:t>E. 3.3</w:t>
      </w:r>
    </w:p>
    <w:p>
      <w:r>
        <w:t>Die Beschwerdeführenden beantragen sowohl in der Beschwerdeschrift vom 13. August 2018 als auch in ihrer Replik vom 22. Oktober 2018 Einsicht in die Aktenstücke 6/4, 12/3, 13/2, 14/2, 15/1 und 19/2, bzw. ersuchen das Gericht darum zu prüfen, ob sie von der Vorinstanz zu Recht als interne Papiere qualifiziert wurden.</w:t>
      </w:r>
    </w:p>
    <w:p>
      <w:r>
        <w:rPr>
          <w:b/>
        </w:rPr>
        <w:t>E. 3.4</w:t>
      </w:r>
    </w:p>
    <w:p>
      <w:r>
        <w:t>Wie in E. 3.1 ausgeführt, umfasst das Akteneinsichtsrecht die Akten, die geeignet sind, der entscheidenden Instanz als Grundlage für ihren Entscheid zu dienen. Die Vorinstanz hatte Gesuche um Ausstellung von Pässen für ausländische Personen zu behandeln. Im Zentrum stand die Frage, ob die Beschwerdeführenden als schriftenlos i.S.v. Art. 10 RDV (SR 143.5) anzusehen sind (vgl. die Verfügungen vom 13. Juli 2018). Beim Aktenstück 6/4 handelt es sich, wie die Vorinstanz zutreffend ausführt, um eine vorläufige Einschätzung des Sachverhalts im Rahmen der internen Entscheidfindung, die schliesslich in die Verfügungen vom 13. Juli 2018 eingeflossen ist. Dieses Dokument stellt daher einen typischen Fall einer reinen Arbeitsunterlage dar, in die keine Akteneinsicht zu gewähren ist (vgl. Urteil des BVGer D-6316/2006 vom 4. April 2008 E. 3.1 und E. 3.2; Kölz/Häner/Bertschi, a.a.O., N 495 m.H., Albertini, a.a.O., S. 228 ff. m.H.; Waldmann/Oeschger, a.a.O., N 65 zu Art. 26 VwVG). Auch den Charakter der Aktenstücke 12/3, 13/2, 14/2, 15/1 und 19/2 hat die Vorinstanz in ihrer Vernehmlassung zutreffend beschrieben. Es handelt sich um Dokumente, mit denen interne Abläufe und Zuständigkeiten geklärt werden, die inhaltlich nichts mit der Frage der Schriftenlosigkeit zu tun haben. Sie sind daher vom Recht auf Akteneinsicht im vorliegenden Verfahren nicht erfasst (vgl. E. 3.1). Die Beschwerdeführenden können ihre Rechte auch dann wirksam wahrnehmen, wenn sie die genannten Unterlagen nicht einsehen können.</w:t>
      </w:r>
    </w:p>
    <w:p>
      <w:r>
        <w:rPr>
          <w:b/>
        </w:rPr>
        <w:t>E. 3.5</w:t>
      </w:r>
    </w:p>
    <w:p>
      <w:r>
        <w:t>Die Vorinstanz hat somit das Recht der Beschwerdeführenden auf Akteneinsicht nicht verletzt, indem sie die Einsicht in die mit "B" gekennzeichneten Aktenstücke 6/4, 12/3, 13/2, 14/2, 15/1 und 19/2 verweigert hat.</w:t>
      </w:r>
    </w:p>
    <w:p>
      <w:r>
        <w:rPr>
          <w:b/>
        </w:rPr>
        <w:t>E. 4</w:t>
      </w:r>
    </w:p>
    <w:p>
      <w:r>
        <w:t>Zusammenfassend ist festzuhalten, dass die Verfügung der Vorinstanz vom 30. Juli 2018 betreffend Akteneinsicht im Lichte von Art. 49 VwVG nicht zu beanstanden ist. Die Beschwerde ist daher abzuweisen.</w:t>
      </w:r>
    </w:p>
    <w:p>
      <w:r>
        <w:rPr>
          <w:b/>
        </w:rPr>
        <w:t>E. 5</w:t>
      </w:r>
    </w:p>
    <w:p>
      <w:r>
        <w:t>Mit diesem verfahrensabschliessenden Urteil wird der Antrag der Beschwerdeführenden auf Verzicht auf die Erhebung eines Kostenvorschusses gegenstandslos.</w:t>
      </w:r>
    </w:p>
    <w:p>
      <w:r>
        <w:rPr>
          <w:b/>
        </w:rPr>
        <w:t>E. 6</w:t>
      </w:r>
    </w:p>
    <w:p>
      <w:r>
        <w:t>Bei diesem Ausgang des Verfahrens wären die Kosten den Beschwerdeführenden aufzuerlegen (vgl. Art. 63 Abs. 1 VwVG). Aufgrund der Besonderheiten des vorliegenden Falles ist jedoch auf die Auferlegung von Verfahrenskosten zu verzichten (vgl.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