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F-463/2021 vom 9. Februar 2021</w:t>
      </w:r>
    </w:p>
    <w:p>
      <w:r>
        <w:t>Bundesverwaltungsgericht, 2021-02-09, DE</w:t>
      </w:r>
    </w:p>
    <w:p>
      <w:r>
        <w:rPr>
          <w:b/>
        </w:rPr>
        <w:t xml:space="preserve">Quelle: </w:t>
      </w:r>
      <w:r>
        <w:t>https://mcp.opencaselaw.ch/entscheid/bvger_F-463_2021</w:t>
      </w:r>
    </w:p>
    <w:p>
      <w:r>
        <w:t>FR: TAF F-463/2021 du 9 février 2021</w:t>
      </w:r>
    </w:p>
    <w:p>
      <w:r>
        <w:t>IT: TAF F-463/2021 del 9 febbraio 2021</w:t>
      </w:r>
    </w:p>
    <w:p>
      <w:pPr>
        <w:pStyle w:val="Heading2"/>
      </w:pPr>
      <w:r>
        <w:t>Regeste</w:t>
      </w:r>
    </w:p>
    <w:p>
      <w:r>
        <w:t>Nichteintreten auf Asylgesuch und Wegweisung (Dublin-Verfahren)</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Die Beschwerdeführerin hat am Verfahren vor der Vorinstanz teilgenommen, ist durch die angefochtene Verfügung berührt und hat ein schutzwürdiges Interesse an deren Aufhebung beziehungsweise Änderung. Sie ist daher zur Einreichung des Rechtsmittels legitimiert (Art. 105 AsylG und Art. 48 Abs. 1 VwVG). Auf die frist- und formgerecht eingereichte Beschwerde ist einzutreten (Art. 108 Abs. 3 AsylG sowie Art. 52 Abs. 1 VwVG).</w:t>
      </w:r>
    </w:p>
    <w:p>
      <w:r>
        <w:rPr>
          <w:b/>
        </w:rPr>
        <w:t>E. 2</w:t>
      </w:r>
    </w:p>
    <w:p>
      <w:r>
        <w:t>Die Beschwerde erweist sich als offensichtlich unbegründet und ist im Verfahren einzelrichterlicher Zuständigkeit mit Zustimmung eines zweiten Richters oder einer zweiten Richterin (Art. 111 Bst. e AsylG), ohne Durchführung eines Schriftenwechsels und mit summarischer Begründung, zu behandeln (Art. 111a Abs. 1 und 2 AsylG).</w:t>
      </w:r>
    </w:p>
    <w:p>
      <w:r>
        <w:rPr>
          <w:b/>
        </w:rPr>
        <w:t>E. 3.1</w:t>
      </w:r>
    </w:p>
    <w:p>
      <w:r>
        <w:t>Mit Beschwerde in Asylsachen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ein Asylgesuch auf seine Begründetheit hin zu überprüfen (Art. 31a Abs. 1-3 AsylG), ist die Beurteilungskompetenz der Beschwerdeinstanz grundsätzlich auf die Frage beschränkt, ob die Vorinstanz zu Recht auf ein Asylgesuch nicht eingetreten ist (vgl. BVGE 2017 VI/5 E. 3.1; 2012/4 E. 2.2, je m.H.).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dieses Staates wird eingeleitet, sobald in einem Mitgliedstaat erstmals ein Asylantrag gestellt wird (Art. 20 Abs. 1 Dublin-III-VO). Im Fall eines sogenannten Aufnahmeverfahrens («take charge») sind die in Kapitel III (Art. 8-15 Dublin-III-VO) genannten Kriterien in der dort aufgeführten Rangfolge (Prinzip der Hierarchie der Zuständigkeitskriterien; vgl. Art. 7 Abs. 1 Dublin-III-VO) anzuwenden, und es ist von der Situation im Zeitpunkt, in dem die betreffende Person erstmals einen Antrag in einem Mitgliedstaat gestellt hat, auszugehen (Art. 7 Abs. 2 Dublin-III-VO). Im Rahmen eines Wiederaufnahmeverfahrens («take back») findet demgegenüber grundsätzlich keine (erneute) Zuständigkeitsprüfung nach Kapitel III statt (vgl. zum Ganzen BVGE 2017 VI/5 E. 6.2 und 8.2.1 m.H.).</w:t>
      </w:r>
    </w:p>
    <w:p>
      <w:r>
        <w:rPr>
          <w:b/>
        </w:rPr>
        <w:t>E. 4.3</w:t>
      </w:r>
    </w:p>
    <w:p>
      <w:r>
        <w:t>Wenn ein Antragsteller, aus einem Drittstaat kommend, die Land-, See- oder Luftgrenze eines Mitgliedstaates illegal überschritten hat, ist dieser Mitgliedstaat gemäss Art. 13 Abs. 1 Dublin-III-VO für die Prüfung des Antrags auf internationalen Schutz zuständig. Die Zuständigkeit endet gemäss dieser Norm zwölf Monate nach dem Tag des illegalen Grenzübertritts. Die Dublin-III-VO räumt den Schutzsuchenden kein Recht ein, den ihren Antrag prüfenden Staat selber auszuwählen (vgl. BVGE 2010/45 E. 8.3).</w:t>
      </w:r>
    </w:p>
    <w:p>
      <w:r>
        <w:rPr>
          <w:b/>
        </w:rPr>
        <w:t>E. 4.4</w:t>
      </w:r>
    </w:p>
    <w:p>
      <w:r>
        <w:t>Ein Abgleich der Fingerabdrücke der Beschwerdeführerin mit der «Eurodac»-Datenbank ergab, dass sie am 15. März 2020 illegal in Malta eingereist und daktyloskopisch erfasst worden war (SEM act. 7). Das SEM ersuchte die maltesischen Behörden deshalb am 5. Oktober 2020 um Übernahme der Beschwerdeführerin (SEM act. 17). Diese stimmten dem Übernahmeersuchen am 7. Oktober 2020 zu. Die Zustimmung stützte sich auf Art. 13 Abs. 1 Dublin-III-VO (SEM act. 19).</w:t>
      </w:r>
    </w:p>
    <w:p>
      <w:r>
        <w:rPr>
          <w:b/>
        </w:rPr>
        <w:t>E. 4.5</w:t>
      </w:r>
    </w:p>
    <w:p>
      <w:r>
        <w:t>Nachfolgend ist demnach im Licht von Art. 3 Abs. 2 Dublin-III-VO zu prüfen, ob es wesentliche Gründe für die Annahme gibt, das Asylverfahren und die Aufnahmebedingungen für Asylsuchende in Malta würden systemische Schwachstellen aufweisen, die eine Gefahr einer unmenschlichen oder entwürdigenden Behandlung im Sinne des Artikels 4 der EU-Grundrechtecharta mit sich bringen würden (E. 5) und ob nach Art. 17 Abs. 1 Dublin-III-VO das Selbsteintrittsrecht auszuüben ist (E. 6).</w:t>
      </w:r>
    </w:p>
    <w:p>
      <w:r>
        <w:rPr>
          <w:b/>
        </w:rPr>
        <w:t>E. 5.1</w:t>
      </w:r>
    </w:p>
    <w:p>
      <w:r>
        <w:t>Malta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Es gibt keine wesentlichen Gründe für die Annahme, das Asylverfahren und die Aufnahmebedingungen für Asylsuchende in Malta würden systemische Schwachstellen aufweisen, die eine Gefahr einer unmenschlichen oder entwürdigenden Behandlung im Sinne des Artikels 4 der EU-Grundrechtecharta mit sich bringen würden.</w:t>
      </w:r>
    </w:p>
    <w:p>
      <w:r>
        <w:rPr>
          <w:b/>
        </w:rPr>
        <w:t>E. 5.2</w:t>
      </w:r>
    </w:p>
    <w:p>
      <w:r>
        <w:t>Unter diesen Umständen ist die Anwendung von Art. 3 Abs. 2 Dublin-III-VO nicht gerechtfertigt.</w:t>
      </w:r>
    </w:p>
    <w:p>
      <w:r>
        <w:rPr>
          <w:b/>
        </w:rPr>
        <w:t>E. 6.1</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Dieses Selbsteintrittsrecht wird im Landesrecht durch Art. 29a Abs. 3 der Asylverordnung 1 vom 11. August 1999 (AsylV 1, SR 142.311) konkretisiert. Erweist sich die Überstellung einer asylsuchenden Person in einen Dublin-Mitgliedstaat als unzulässig im Sinne der EMRK oder einer anderen die Schweiz bindenden, völkerrechtlichen Bestimmung, muss die Vorinstanz die Souveränitätsklausel anwenden und das Asylgesuch in der Schweiz behandeln (BVGE 2015/9 E. 8.2.1; 2010/45 E. 7.2).</w:t>
      </w:r>
    </w:p>
    <w:p>
      <w:r>
        <w:rPr>
          <w:b/>
        </w:rPr>
        <w:t>E. 6.2</w:t>
      </w:r>
    </w:p>
    <w:p>
      <w:r>
        <w:t>In der Rechtsmitteleingabe vom 1. Februar 2021 äussert die Beschwerdeführerin Kritik am maltesischen Asylsystem und führt hierzu aus, das SEM habe in Verletzung seiner Untersuchungspflicht die offenkundigen Mängel im maltesischen Asylverfahren nicht ausreichend abgeklärt. Weil sie dieses Land illegal verlassen habe, erwartete sie dort erneut die Unterbringung in einem gefängnisähnlichen Flüchtlingscamp. Gemäss einem im April 2020 aktualisierten Bericht von AIDA (Asylum Information Database) hätten viele Dublin-Rückkehrer nach einer Überstellung nach Malta Schwierigkeiten beim Zugang zum Asylverfahren. Darüber hinaus liefen Personen, die irregulär aus Malta ausreisen würden, Gefahr, nach ihrer Überstellung nach Malta auf der Grundlage des maltesischen Einwanderungsgesetzes strafrechtlich angeklagt zu werden. Bei der Rückkehr würde die Person verhaftet und vor das Amtsgericht gebracht. Auch das Global Detention Project habe in seinem Bericht vom Juni 2019 die maltesische Politik in Bezug auf die summarischen Inhaftierungen und Inhaftierungen ohne besondere zeitliche Begrenzungen kritisiert.</w:t>
      </w:r>
    </w:p>
    <w:p>
      <w:r>
        <w:rPr>
          <w:b/>
        </w:rPr>
        <w:t>E. 6.3</w:t>
      </w:r>
    </w:p>
    <w:p>
      <w:r>
        <w:t>Wie die Vorinstanz zutreffend festhält, steht es der Beschwerdeführerin nach erfolgter Überstellung nach Malta offen, dort um Asyl nachzusuchen und damit Zugang zu den asylrechtlichen Aufnahmestrukturen zu erhalten. Die Betroffene hat in diesem Zusammenhang kein konkretes und ernsthaftes Risiko dargetan, die dortigen Behörden würden sich weigern, sie wiederaufzunehmen und ihren Antrag auf internationalen Schutz unter Einhaltung der Regeln der Verfahrensrichtlinie zu prüfen. Den Akten sind denn auch keine Gründe für die Annahme zu entnehmen, Malta werde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werden. Die Vermutung, Malta halte seine völkerrechtlichen Verpflichtungen ein, kann im Einzelfall widerlegt werden. Wie eben erwähnt, bedarf es hierfür aber konkreter und ernsthafter Hinweise. Dies gelingt der Beschwerdeführerin, die in Malta gar nicht erst um Asyl nachgesucht hat, mit dem blossen Hinweis auf die Berichte von AIDA und Global Detention Project indes nicht.</w:t>
      </w:r>
    </w:p>
    <w:p>
      <w:r>
        <w:rPr>
          <w:b/>
        </w:rPr>
        <w:t>E. 6.4</w:t>
      </w:r>
    </w:p>
    <w:p>
      <w:r>
        <w:t>Des Weiteren gibt es auch keine Hinweise für die Annahme, Malta würde der Beschwerdeführerin dauerhaft die ihr gemäss Aufnahmerichtlinie zustehenden minimalen Lebensbedingungen vorenthalten. Bei einer allfälligen vorübergehenden Einschränkung könnte sie sich nötigenfalls an die maltesischen Behörden wenden und die ihr zustehenden Aufnahmebedingungen auf dem Rechtsweg einfordern (vgl. Art. 26 Aufnahmerichtlinie). Das Bundesverwaltungsgericht geht in seiner Rechtsprechung denn davon aus, dass das maltesische Asylverfahren keine relevanten (strukturellen) Defizite aufweist, Asylsuchende die von der Aufnahmerichtlinie garantierten Grundleistungen erhalten und dort keine unmenschliche oder entwürdigende Behandlung im Sinne von Art. 3 EMRK bzw. Art. 4 der Grundrechtecharta zu befürchten haben (vgl. etwa Urteile des BVGer F-6198/2020 vom 18. Dezember 2020 E. 5.2, E-3973/2020 vom 17. August 2020 E. 7.3.3, F-869/2020 vom 24. Februar 2020 E. 6.4 oder F-4505/2019 vom 11. September 2019 S. 7 ff.). Die von der Beschwerdeführerin in genereller Weise dargelegte Kritik an Maltas Asylsystem vermag daran, wie angetönt, nichts zu ändern. Dasselbe gilt für ihre Befürchtung, nach einer Rückkehr nach Malta in Haft genommen zu werden. In diesem Zusammenhang kann auf die substantiierten Erwägungen des SEM verwiesen werden (vgl. angefochtene Verfügung S. 6). Mit Blick auf das maltesischen Asylverfahren ist somit keine Verletzung des Untersuchungsgrundsatzes durch die Vorinstanz erkennbar. Ebenso wenig bedurfte es nach dem Gesagten individueller Garantien hinsichtlich einer bedarfsgerechten Unterbringung.</w:t>
      </w:r>
    </w:p>
    <w:p>
      <w:r>
        <w:rPr>
          <w:b/>
        </w:rPr>
        <w:t>E. 6.5</w:t>
      </w:r>
    </w:p>
    <w:p>
      <w:r>
        <w:t>Anzumerken wäre an dieser Stelle der Vollständigkeit halber, dass auch mit Blick auf die Frage, ob die Beschwerdeführerin Opfer von Menschenhandel wurde, keine weiteren Abklärungen angezeigt sind, hat das SEM vor Erlass der angefochtenen Verfügung doch die gebotenen Vorkehren getroffen. Hierbei gelangte es zum Schluss, dass keine Anhaltspunkte dafür vorlägen, dass die Betroffene Opfer einer Straftat im Zusammenhang mit Menschenhandel geworden sei (siehe Sachverhalt Bst. D und F). Auf Beschwerdeebene werden hierzu keine Umstände vorgetragen, welche in diesem Zusammenhang relevant wären.</w:t>
      </w:r>
    </w:p>
    <w:p>
      <w:r>
        <w:rPr>
          <w:b/>
        </w:rPr>
        <w:t>E. 6.6</w:t>
      </w:r>
    </w:p>
    <w:p>
      <w:r>
        <w:t>Die Beschwerdeführerin beruft sich ferner darauf, ihr Gesundheitszustand stehe einer Überstellung nach Malta entgegen. Was den medizinischen Sachverhalt anbelangt, so kann eine zwangsweise Rückweisung von Personen mit gesundheitlichen Problemen nur ganz ausnahmsweise einen Verstoss gegen Art. 3 EMRK darstellen. Eine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vom 13. Dezember 2016, Grosse Kammer, 41738/10, §§ 180-193 m.w.H.).</w:t>
      </w:r>
    </w:p>
    <w:p>
      <w:r>
        <w:rPr>
          <w:b/>
        </w:rPr>
        <w:t>E. 6.7</w:t>
      </w:r>
    </w:p>
    <w:p>
      <w:r>
        <w:t>Eine solche Situation liegt nicht vor. Anlässlich des Dublin-Gesprächs vom 7. September 2020 erklärte die Beschwerdeführerin, dass es ihr «so» gehe und beklagte Schlaflosigkeit. Auch in der «Anhörung Menschenhandel» vom 19. Oktober 2020 erwähnte sie, infolge des Erlebten sehr schlecht zu schlafen und an Albträumen zu leiden (SEM act. 13 bzw. 22). Wie von der Rechtsvertretung beantragt, wurde sie anschliessend medizinisch und psychologisch untersucht. Ein entsprechendes medizinisches Journal enthält Einträge für die Zeitspanne vom 15. Oktober 2020 bis 8. Januar 2021. Gemäss einem Bericht der UPK Y.______ vom 10. November 2020 bestand bei der Beschwerdeführerin der Verdacht auf eine Anpassungsstörung bzw. eine Schlafstörung mit Albträumen. Zur Behandlung wurde ihr das Medikament Surmontil abgegeben. Laut einem internen Arztbericht vom 15. Dezember 2020, der zusätzlich den Hinweis auf eine posttraumatische Belastungsstörung enthielt, benötigte sie zu jenem Zeitpunkt keine Medikamente mehr, da sie keine Schlafprobleme mehr habe und psychisch stabil sei. Aus den medizinischen Unterlagen geht ferner hervor, dass sie sich wegen einer schuppigen Hautveränderung am Nacken und einer warzenähnlichen Hautveränderung am Zehen medikamentös behandeln liess (zum Ganzen vgl. SEM act. 33). Aus den in den aktenkundigen Arztberichten festgehaltenen Diagnosen ergibt sich mithin, dass sich die Beschwerdeführerin aus medizinischer Sicht nicht zwingend in der Schweiz aufhalten muss, sondern eine adäquate Behandlung der Leiden in Malta möglich ist. Dementsprechend gelingt es ihr nicht, nachzuweisen, dass sie nicht reisefähig sei oder eine Überstellung nach Malta ihre Gesundheit ernsthaft gefährden würde. Ihr Gesundheitszustand vermag eine Unzulässigkeit im Sinne der restriktiven Rechtsprechung nicht zu rechtfertigen</w:t>
      </w:r>
    </w:p>
    <w:p>
      <w:r>
        <w:rPr>
          <w:b/>
        </w:rPr>
        <w:t>E. 6.8</w:t>
      </w:r>
    </w:p>
    <w:p>
      <w:r>
        <w:t>Die Beschwerdeführerin wurde in der Schweiz, wie eben dargetan, medizinisch versorgt und sie unterzog sich mehrerer ärztlicher Untersuchungen. Dem SEM waren ihre gesundheitlichen Probleme bekannt. In Bezug auf das Vorliegen einer schwerwiegenden Erkrankung wären von zusätzlichen medizinischen Abklärungen keine neuen Erkenntnisse zu erwarten gewesen (zur antizipierten Beweiswürdigung vgl. BGE 141 I 60 E. 3.3 oder BGE 136 1 229 E. 5.3). Entgegen der Auffassung der Parteivertreterin ist deshalb nicht zu beanstanden, dass die Vorinstanz diesbezüglich keine weiteren Abklärungen vorgenommen hat. Die zitierten Urteile D-307/2015 und E-107/2015 schliesslich betrafen besonders verletzliche Personen und sind vorliegend daher nicht heranziehbar. Die Rüge der unvollständigen Sachverhaltsermittlung erweist sich somit auch in dieser Hinsicht als nicht stichhaltig. Auch besonderer Garantien betreffend Gewährleistung der medizinischen Versorgung bedurfte es nicht.</w:t>
      </w:r>
    </w:p>
    <w:p>
      <w:r>
        <w:rPr>
          <w:b/>
        </w:rPr>
        <w:t>E. 6.9</w:t>
      </w:r>
    </w:p>
    <w:p>
      <w:r>
        <w:t>Im Übrigen verfügt Malta über eine ausreichende medizinische Infrastruktur.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wonach Malta der Beschwerdeführerin eine adäquate medizinische Behandlung (konkret eine allfällige Medikation, allenfalls psychotherapeutische Betreuung) verweigern würde (vgl. hierzu etwa Urteile F-6198/2020 E.6.2.3, E-3973/2020 E. 7.4.2, E-3503/2018 vom 21. Juni 2018 S. 8 oder D-935/2018 vom 23. Februar 2018 S. 7).</w:t>
      </w:r>
    </w:p>
    <w:p>
      <w:r>
        <w:rPr>
          <w:b/>
        </w:rPr>
        <w:t>E. 6.10</w:t>
      </w:r>
    </w:p>
    <w:p>
      <w:r>
        <w:t>Anzumerken gilt es darüber hinaus, dass die schweizerischen Behörden, die mit dem Vollzug der angefochtenen Verfügung beauftragt sind, den medizinischen Umständen bei der Bestimmung der konkreten Modalitäten der Überstellung der Beschwerdeführenden Rechnung tragen und die maltesischen Behörden vorgängig in geeigneter Weise über die spezifischen medizinischen Umstände informieren (vgl. Art. 31 f. Dublin-III-VO). Dies ist vorliegend geschehen, sind die jeweiligen Diagnosen (Anpassungsstörung, posttraumatische Belastungsstörung, Schlafstörungen mit Albträumen, Hautveränderungen, abgegebene Medikation) in den Überstellungsmodalitäten doch aufgelistet (SEM act. 36).</w:t>
      </w:r>
    </w:p>
    <w:p>
      <w:r>
        <w:rPr>
          <w:b/>
        </w:rPr>
        <w:t>E. 7</w:t>
      </w:r>
    </w:p>
    <w:p>
      <w:r>
        <w:t>Gemäss Praxis des Bundesverwaltungsgerichts verfügt das SEM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8</w:t>
      </w:r>
    </w:p>
    <w:p>
      <w:r>
        <w:t>Nach dem Gesagten besteht kein Grund für eine Anwendung der Ermessensklauseln von Art. 17 Dublin-III-VO. Somit bleibt Malta der für die Behandlung des Asylgesuches der Beschwerdeführerin zuständige Mitgliedstaat gemäss Dublin-III-VO.</w:t>
      </w:r>
    </w:p>
    <w:p>
      <w:r>
        <w:rPr>
          <w:b/>
        </w:rPr>
        <w:t>E. 9</w:t>
      </w:r>
    </w:p>
    <w:p>
      <w:r>
        <w:t>Das SEM ist demnach zu Recht in Anwendung von Art. 31a Abs. 1 Bst. b AsylG auf das Asylgesuch der Beschwerdeführerin nicht eingetreten. Da sie nicht im Besitz einer gültigen Aufenthalts- oder Niederlassungsbewilligung ist, wurde die Überstellung nach Malta in Anwendung von Art. 44 AsylG ebenfalls zu Recht angeordnet (Art. 32 Bst. a AsylV 1).</w:t>
      </w:r>
    </w:p>
    <w:p>
      <w:r>
        <w:rPr>
          <w:b/>
        </w:rPr>
        <w:t>E. 10</w:t>
      </w:r>
    </w:p>
    <w:p>
      <w:r>
        <w:t>Nach dem Gesagten ist die Beschwerde abzuweisen und die Verfügung des SEM zu bestätigen.</w:t>
      </w:r>
    </w:p>
    <w:p>
      <w:r>
        <w:rPr>
          <w:b/>
        </w:rPr>
        <w:t>E. 11</w:t>
      </w:r>
    </w:p>
    <w:p>
      <w:r>
        <w:t>Der am 3. Februar 2021 angeordnete Vollzugsstopp fällt mit vorliegendem Urteil dahin.</w:t>
      </w:r>
    </w:p>
    <w:p>
      <w:r>
        <w:rPr>
          <w:b/>
        </w:rPr>
        <w:t>E. 12</w:t>
      </w:r>
    </w:p>
    <w:p>
      <w:r>
        <w:t>Das mit der Beschwerde gestellte Gesuch um Gewährung der unentgeltlichen Rechtspflege und Verzicht auf die Erhebung eines Kostenvorschusses ist abzuweisen, da die Begehren - wie sich aus den vorstehenden Erwägungen ergibt - als aussichtslos zu bezeichnen sind, weshalb die Vor-aussetzungen von Art. 65 Abs. 1 VwVG nicht erfüllt sind. Die Verfahrenskosten sind daher der Beschwerdeführerin aufzuerlegen (Art. 63 Abs. 1 VwVG) und auf insgesamt Fr. 750.- festzusetzen (Art. 1 - 3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