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F-461/2024 vom 8. Januar 2024</w:t>
      </w:r>
    </w:p>
    <w:p>
      <w:r>
        <w:t>Bundesverwaltungsgericht, 2024-01-08, DE</w:t>
      </w:r>
    </w:p>
    <w:p>
      <w:r>
        <w:rPr>
          <w:b/>
        </w:rPr>
        <w:t xml:space="preserve">Quelle: </w:t>
      </w:r>
      <w:r>
        <w:t>https://mcp.opencaselaw.ch/entscheid/bvger_F-461_2024_d20240108</w:t>
      </w:r>
    </w:p>
    <w:p>
      <w:r>
        <w:t>FR: TAF F-461/2024 du 8 janvier 2024</w:t>
      </w:r>
    </w:p>
    <w:p>
      <w:r>
        <w:t>IT: TAF F-461/2024 del 8 gennaio 2024</w:t>
      </w:r>
    </w:p>
    <w:p>
      <w:pPr>
        <w:pStyle w:val="Heading2"/>
      </w:pPr>
      <w:r>
        <w:t>Regeste</w:t>
      </w:r>
    </w:p>
    <w:p>
      <w:r>
        <w:t>Schengen-Visum | Schengen-Visum; Verfügung des SEM vom 8. Januar 2024</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w:t>
      </w:r>
    </w:p>
    <w:p>
      <w:r>
        <w:t>F-461/2024 Seite 4 sind. Liegen keine Ablehnungsgründe vor, ist das Visum auszustellen; ein Rechtsfolgeermessen besteht nicht (so das Urteil des Europäischen Ge- 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w:t>
      </w:r>
    </w:p>
    <w:p>
      <w:r>
        <w:t>F-461/2024 Seite 5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seiner Staatsangehörigkeit (Nigeria) unterliegt der Gesuchsteller der Visumspflicht. Bei der Prüfung der Einreisevoraussetzungen nach Art. 6 Abs. 1 SGK ist die Frage der gesicherten Wiederausreise zentral.</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4.2</w:t>
      </w:r>
    </w:p>
    <w:p>
      <w:r>
        <w:t>Obwohl Nigeria aufgrund seiner reichhaltigen Erdölvorkommen als stärkste Volkswirtschaft des afrikanischen Kontinents gilt, lebt ein grosser Teil der Bevölkerung in Armut. Im Norden des Landes kommt es immer wieder zu bewaffneten Konflikten und terroristischen Anschlägen (vgl. dazu</w:t>
      </w:r>
    </w:p>
    <w:p>
      <w:r>
        <w:t>F-461/2024 Seite 6 ausführlich das Urteil des BVGer F-4040/2022 vom 8. Januar 2024 E. 7.1 m.w.H.). Die Sicherheitslage ist im ganzen Land sehr angespannt und hat sich kontinuierlich verschlechtert. Es besteht ein hohes Risiko von politi- schen und kriminellen Entführungen. Die Kriminalitätsrate ist sehr hoch. Die medizinische Versorgung ist nicht immer gewährleistet (vgl. &lt; https:// www.eda.admin.ch &gt; Reisehinweise &amp; Vertretungen &gt; Nigeria &gt; Reisehin- weise für Nigeria, abgerufen am 08.10.2024). Auf dem aktuellen Index der menschlichen Entwicklung, der durch das Entwicklungsprogramm der Ver- einten Nationen im Sinne eines Wohlstandsindikators erstellt wird, belegt Nigeria lediglich Rang 161 von 193 gelisteten Staaten (vgl. &lt; https://hdr.undp.org &gt; Data Center ˃ Country Insights &gt; Nigeria, abgeru- fen am 08.10.2024).</w:t>
      </w:r>
    </w:p>
    <w:p>
      <w:r>
        <w:rPr>
          <w:b/>
        </w:rPr>
        <w:t>E. 4.3</w:t>
      </w:r>
    </w:p>
    <w:p>
      <w:r>
        <w:t>Vor diesem Hintergrund ist nicht zu beanstanden, dass die Vorinstanz das Risiko einer nicht fristgerechten Wiederausreise von Besucherinnen und Besuchern aus Nigeria allgemein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 Zudem ist ein im Zielland Schweiz bestehendes, minimales soziales Be- ziehungsnetz aus Verwandten oder Freunden ein wichtiges Element, das den Entscheid, dorthin auszuwandern, erleichtern kann. Angesichts der restriktiven Zulassungsregelung führt dies nicht selten zur Umgehung von ausländerrechtlichen Bestimmungen, indem die Gesuchstellenden – ein- mal eingereist – versuchen, den Aufenthalt auf eine andere rechtliche Ba- sis abzustützen (BVGE 2014/1 E. 6.2.2).</w:t>
      </w:r>
    </w:p>
    <w:p>
      <w:r>
        <w:rPr>
          <w:b/>
        </w:rPr>
        <w:t>E. 4.4.1</w:t>
      </w:r>
    </w:p>
    <w:p>
      <w:r>
        <w:t>Beim Gesuchsteller handelt es sich um den (…)-jährigen und kinder- losen Verlobten der Beschwerdeführerin. Gemäss Angaben der Beschwer- deführerin lebt seine Familie (der Vater, die Mutter sowie die Geschwister)</w:t>
      </w:r>
    </w:p>
    <w:p>
      <w:r>
        <w:t>F-461/2024 Seite 7 in Nigeria. Der Gesuchsteller liebe seine Familie und würde nie etwas un- ternehmen, was dazu beitragen würde, dass er diese nie mehr sehen könnte. Die Beschwerdeführerin äussert sich jedoch nicht dazu, ob und inwiefern ihm besondere gesellschaftliche oder familiäre Verpflichtungen obliegen. Es fehlen auch Anhaltspunkte bezüglich des Bestehens beson- ders intensiver Beziehungen zu Familie oder Freunden in Nigeria. Vielmehr entsteht der Eindruck, der Gesuchsteller sei sozial nicht besonders stark an Nigeria gebunden. Dies gilt umso mehr, als der Gesuchsteller – gemäss Ausführungen der Beschwerdeführerin – längerfristig in der Schweiz leben möchte. Er verfügt sodann in der Schweiz durch seine hier lebende Ver- lobte über ein vorbestehendes soziales Beziehungsnetz, was das Emigra- tionsrisiko erhöht (vgl. E. 4.4).</w:t>
      </w:r>
    </w:p>
    <w:p>
      <w:r>
        <w:rPr>
          <w:b/>
        </w:rPr>
        <w:t>E. 4.4.2</w:t>
      </w:r>
    </w:p>
    <w:p>
      <w:r>
        <w:t>Auch in wirtschaftlicher Hinsicht kann nichts zu seinen Gunsten ab- geleitet werden. Zwar verfügt der Gesuchsteller aktenkundig über ein Fä- higkeitszeugnis als Schneider (die Frage der Beweiskraft des handschrift- lichen Dokuments kann vorliegend offenbleiben). Sodann führt die Be- schwerdeführerin aus, der Gesuchsteller arbeite selbständig als Modede- signer und verdiene als solcher nicht viel. In ruhigeren Zeiten habe er bei diversen Bauprojekten mitgeholfen. Indessen wird weder substantiiert noch belegt, welche Einnahmen der Gesuchsteller als selbständiger Mo- dedesigner sowie bei der Mitarbeit in Bauprojekten generiert haben soll. Gemäss Bankauszug verfügte der Gesuchsteller per 12. Oktober 2023 über ein Vermögen von umgerechnet Fr. 300.– (250'006.80 Naira; Umrech- nungskurs am 12. Oktober 2023). Weitere Unterlagen reichte die Be- schwerdeführerin zur finanziellen Situation des Gesuchstellers nicht ein. Gegen das Vorliegen von wirtschaftlich günstigen oder privilegierten Ver- hältnissen spricht weiter, dass sämtliche mit dem Besuchsaufenthalt ver- bundenen Kosten von den Gastgebern übernommen würden. Einen hinrei- chenden Beleg einer sicheren wirtschaftlichen Existenz in Nigeria, welche ihn von einer Emigration abhalten könnte, bleibt die Beschwerdeführerin schuldig.</w:t>
      </w:r>
    </w:p>
    <w:p>
      <w:r>
        <w:rPr>
          <w:b/>
        </w:rPr>
        <w:t>E. 4.5</w:t>
      </w:r>
    </w:p>
    <w:p>
      <w:r>
        <w:t>Unter Berücksichtigung der allgemeinen Situation im Herkunftsland und vor dem dargelegten persönlichen Hintergrund durfte die Vorinstanz davon ausgehen, dass keine hinreichende Gewähr für eine fristgerechte und anstandslose Wiederausreise des Gesuchstellers nach einem Be- suchsaufenthalt besteht. Zwar ist der infrage stehende Aufenthaltszweck – nämlich ein rund sechswöchiger Besuch bei seiner in der Schweiz leben- den Verlobten – zeitlich und inhaltlich klar umrissen; dennoch lassen die persönlichen Lebensumstände des Gesuchstellers in Nigeria – soweit</w:t>
      </w:r>
    </w:p>
    <w:p>
      <w:r>
        <w:t>F-461/2024 Seite 8 bekannt – nicht auf eine ausreichende Gewähr für die fristgerechte Wie- derausreise schliessen.</w:t>
      </w:r>
    </w:p>
    <w:p>
      <w:r>
        <w:rPr>
          <w:b/>
        </w:rPr>
        <w:t>E. 4.6</w:t>
      </w:r>
    </w:p>
    <w:p>
      <w:r>
        <w:t>An dieser Einschätzung vermag die von der Beschwerdeführerin unter- zeichnete Verpflichtungserklärung nichts zu ändern. An ihren guten Absich- ten ist hierbei nicht zu zweifeln. Jedoch gilt es zu bedenken, dass sie in ihrer Eigenschaft als Gastgeberin zwar für gewisse finanzielle Risiken Ga- rantie leisten kann, nicht aber – mangels rechtlicher und faktischer Durch- setzbarkeit – für ein bestimmtes Verhalten der eingeladenen Person (vgl. BVGE 2014/1 E. 6.3.7 und BVGE 2009/27 E. 9). Der (durchaus verständliche) Wunsch der Beschwerdeführerin, ihrem Ver- lobten aus Nigeria ihr Lebensumfeld in der Schweiz zeigen zu können, hat demnach in den Hintergrund zu treten. Sofern sie vorbringt, sie wollten in der Schweiz ihre Hochzeitsvorbereitungen starten, ist darauf hinzuweisen, dass diese auch in Nigeria erfolgen können, zumal die Hochzeit gemäss Aussagen der Beschwerdeführerin in Nigeria stattfinden soll. Als Schwei- zerbürgerin steht der Beschwerdeführerin weiterhin die Möglichkeit offen, den Gesuchsteller in seinem Heimatland zu besuchen.</w:t>
      </w:r>
    </w:p>
    <w:p>
      <w:r>
        <w:rPr>
          <w:b/>
        </w:rPr>
        <w:t>E. 5</w:t>
      </w:r>
    </w:p>
    <w:p>
      <w:r>
        <w:t>Die angefochtene Verfügung erweist sich somit im Lichte von Art. 49 VwVG als rechtmässig und die Beschwerde ist abzuweisen.</w:t>
      </w:r>
    </w:p>
    <w:p>
      <w:r>
        <w:rPr>
          <w:b/>
        </w:rPr>
        <w:t>E. 6</w:t>
      </w:r>
    </w:p>
    <w:p>
      <w:r>
        <w:t>Bei diesem Ausgang des Verfahrens sind die Kosten der Beschwerdefüh- rerin aufzuerlegen (vgl. Art. 63 Abs. 1 VwVG i.V.m. Art. 1 ff. des Regle- ments vom 21. Februar 2008 über die Kosten und Entschädigungen vor dem Bundesverwaltungsgericht [VGKE, SR 173.320.2]). Sie sind durch den am 7. Februar 2024 in gleicher Höhe geleisteten Kostenvorschuss ge- deckt. (Dispositiv nächste Seite)</w:t>
      </w:r>
    </w:p>
    <w:p>
      <w:r>
        <w:t>F-461/2024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