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F-461/2015 vom 28. Juli 2017</w:t>
      </w:r>
    </w:p>
    <w:p>
      <w:r>
        <w:t>Bundesverwaltungsgericht, 2017-07-28, FR</w:t>
      </w:r>
    </w:p>
    <w:p>
      <w:r>
        <w:rPr>
          <w:b/>
        </w:rPr>
        <w:t xml:space="preserve">Quelle: </w:t>
      </w:r>
      <w:r>
        <w:t>https://mcp.opencaselaw.ch/entscheid/bvger_F-461_2015</w:t>
      </w:r>
    </w:p>
    <w:p>
      <w:r>
        <w:t>FR: TAF F-461/2015 du 28 juillet 2017</w:t>
      </w:r>
    </w:p>
    <w:p>
      <w:r>
        <w:t>IT: TAF F-461/2015 del 28 luglio 2017</w:t>
      </w:r>
    </w:p>
    <w:p>
      <w:pPr>
        <w:pStyle w:val="Heading2"/>
      </w:pPr>
      <w:r>
        <w:t>Regeste</w:t>
      </w:r>
    </w:p>
    <w:p>
      <w:r>
        <w:t>Octroi de l'admission provisoire</w:t>
      </w:r>
    </w:p>
    <w:p>
      <w:pPr>
        <w:pStyle w:val="Heading2"/>
      </w:pPr>
      <w:r>
        <w:t>Erwägungen</w:t>
      </w:r>
    </w:p>
    <w:p>
      <w:r>
        <w:rPr>
          <w:b/>
        </w:rPr>
        <w:t>E. 1.1</w:t>
      </w:r>
    </w:p>
    <w:p>
      <w:r>
        <w:t>Sous réserve des exceptions prévues à l'art. 32 LTAF (RS 173.32), le Tribunal connaît, en vertu de l'art. 31 LTAF, des recours contre les décisions au sens de l'art. 5 PA, prises par les autorités citées à l'art. 33 LTAF. En particulier, les décisions rendues par le SEM (qui constitue une unité de l'administration fédérale telle que définie à l'art. 33 let. d LTAF) en matière d'admission provisoire peuvent être déférées au Tribunal, qui statue de manière définitive (cf. art. 1 al. 2 LTAF, en relation avec l'art. 83 let. c ch. 3 LTF [RS 173.110]).</w:t>
      </w:r>
    </w:p>
    <w:p>
      <w:r>
        <w:rPr>
          <w:b/>
        </w:rPr>
        <w:t>E. 1.2</w:t>
      </w:r>
    </w:p>
    <w:p>
      <w:r>
        <w:t>A moins que la LTAF n'en dispose autrement, la procédure devant le Tribunal est régie par la PA (cf. art. 37 LTAF, applicable par renvoi de l'art. 112 al. 1 LEtr).</w:t>
      </w:r>
    </w:p>
    <w:p>
      <w:r>
        <w:rPr>
          <w:b/>
        </w:rPr>
        <w:t>E. 1.3</w:t>
      </w:r>
    </w:p>
    <w:p>
      <w:r>
        <w:t>L'intéressée a qualité pour recourir (cf. art. 48 al. 1 PA). Présenté dans la forme (cf. art. 52 PA) et dans le délai (cf. art. 50 PA) prescrits par la loi, le recours est recevable.</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(cf. art. 49 PA).</w:t>
      </w:r>
    </w:p>
    <w:p>
      <w:r>
        <w:rPr>
          <w:b/>
        </w:rPr>
        <w:t>E. 2.2</w:t>
      </w:r>
    </w:p>
    <w:p>
      <w:r>
        <w:t>Le Tribunal applique le droit d'office, sans être lié par les motifs invoqués (cf. art. 62 al. 4 PA), ni par l'argumentation juridique développée dans la décision entreprise (cf. Moor/Poltier, Droit administratif, vol. II, 3ème éd., Berne 2011, p. 782). Dans les procédures relevant du domaine du droit des étrangers, il prend en règle générale en considération l'état de fait existant au moment où il statue (cf. ATAF 2014/1 consid. 2).</w:t>
      </w:r>
    </w:p>
    <w:p>
      <w:r>
        <w:rPr>
          <w:b/>
        </w:rPr>
        <w:t>E. 3.1</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Toutefois, l'admission provisoire visée aux al. 2 et 4 de l'art. 83 LEtr (impossibilité et inexigibilité) n'est pas ordonnée dans les cas visés à l'al. 7 de cette même disposition (cf. art. 83 al. 7 LEtr).</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w:t>
      </w:r>
    </w:p>
    <w:p>
      <w:r>
        <w:t>En l'occurrence, le Tribunal relève que la recourante allègue avoir découvert en Suisse son homosexualité, et craindre de subir des mauvais traitements en raison de celle-ci, en particulier de la part de sa famille, en cas de retour en Ouganda. A ce propos, il y a lieu de constater que l'homosexualité de X._______ n'est pas clairement établie. En effet, malgré les nombreuses demandes tant des autorités cantonale que fédérale, le devoir de collaboration des parties (art. 90 LEtr), et le secret de fonction auquel sont soumis les autorités judiciaires, X._______ a toujours refusé de révéler l'identité de sa prétendue compagne, en se limitant à indiquer que celle-ci serait une ressortissante ougandaise, fonctionnaire internationale à Genève, au bénéfice d'une carte de légitimation du DFAE. En outre, la prénommée et sa compagne ne souhaiteraient pas officialiser leur relation. A ce propos, X._______ a précisé qu'elle n'avait jamais vécu avec son amie, n'envisageait pas de vivre avec elle, ni encore moins de conclure un contrat de partenariat enregistré avec cette dernière (cf. courriers des 23 février 2012, 11 février 2013, 30 juin 2014, recours du 19 janvier 2015). Enfin, la recourante affirme qu'au vu de son homosexualité, elle n'a jamais été mariée (cf. courrier du 23 février 2012, recours du 19 janvier 2015). Or, cette allégation est en contradiction avec la procédure cantonale tendant à l'octroi d'une autorisation de séjour pour études, au cours de laquelle X._______ a affirmé être veuve (cf. curriculum vitae, formulaire de demande d'autorisation de séjour, dossier cantonal), ce qui laisse supposer qu'elle a bel et bien été mariée. Quant au courrier daté 5 janvier 2012 du frère de la recourante, exprimant des reproches à l'intéressée dans une forme très générale : « Tout ce que tu as fait là-bas, nous le savons honte à toi ! », il ne démontre pas d'avantage que l'intéressée aurait réellement entretenu une relation homosexuelle à Genève. Il en est de même du courrier d'un cousin daté du 21 juin 2014. Cela étant, la recourante n'a pas établi la crédibilité de ses allégations quant à une prétendue relation homosexuelle qu'elle entretiendrait à Genève depuis septembre 2010, et aux conséquences que celle-ci aurait sur le comportement de sa famille à son endroit en Ouganda. Aussi, ses craintes ne constituent que de simples affirmations de sa part, ne reposant sur aucun fondement concret et sérieux. Enfin, même si l'intéressée avait réellement entretenu une relation homosexuelle à Genève, son renvoi en Ouganda serait possible, licite et raisonnablement exigible pour les motifs suivants.</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La recourante n'ayant à aucun moment déposé une demande d'asile, elle ne saurait se prévaloir du principe de non-refoulement découlant de l'art. 5 LAsi (cf. arrêts du TAF F-1289/2015 du 31 août 2016 consid. 5.2, E-1860/2015 du 21 octobre 2015 consid 7.1.1).</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(arrêt du TAF F-1289/2015 du 31 août 2016 consid. 5.4).</w:t>
      </w:r>
    </w:p>
    <w:p>
      <w:r>
        <w:rPr>
          <w:b/>
        </w:rPr>
        <w:t>E. 5.5</w:t>
      </w:r>
    </w:p>
    <w:p>
      <w:r>
        <w:t>En l'occurrence, le Tribunal relève que le 1er août 2014, la loi ougandaise durcissant la répression des homosexuels, adoptée en février 2014, a été abrogée par la cour constitutionnelle. Cette loi, qui prévoyait notamment l'obligation de dénoncer les homosexuels et réprimait la promotion de l'homosexualité, a ainsi été déclarée nulle et non avenue. Si les relations homosexuelles en Ouganda restent certes punissables d'un emprisonnement (cf. art. 149 du code pénal ougandais), en pratique, cette loi est peu appliquée. Une « Gay Pride » a d'ailleurs été organisée le 8 août 2015 à Entebbe, ville située à 40 kilomètres de Kampala, pour fêter l'abrogation de la loi anti-homosexualité (cf. http:// www.bbc.com/afrique/region/ 2015/08/1508 08). En l'espèce, force est de constater que la recourante, qui n'a jamais joué de rôle actif dans la communauté lesbienne ougandaise, se contente d'allégations générales, sans démontrer qu'elle courrait un risque concret et sérieux de torture ou de traitement inhumain (cf. art. 3 CEDH et art. 3 Conv. torture) en cas de retour en Ouganda, ce qui n'est manifestement pas suffisant (cf. ATF 139 II 69 consid. 6.4 et réf. cit.). Dès lors, même si on voulait admettre l'homosexualité alléguée, l'exécution du renvoi de la recourante ne transgresserait aucun engagement de la Suisse relevant du droit international, de sorte qu'elle s'avère licite (art. 83 al. 3 LEtr).</w:t>
      </w:r>
    </w:p>
    <w:p>
      <w:r>
        <w:rPr>
          <w:b/>
        </w:rPr>
        <w:t>E. 6.1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w:t>
      </w:r>
    </w:p>
    <w:p>
      <w:r>
        <w:rPr>
          <w:b/>
        </w:rPr>
        <w:t>E. 6.2.1</w:t>
      </w:r>
    </w:p>
    <w:p>
      <w:r>
        <w:t>Ceci étant, il convient, dans le cadre de l'analyse du cas d'espèce, de faire appel à des critères aussi divers que les attaches avec la région de réinstallation, notamment les relations familiales et sociales, les séjours antérieurs, respectivement les emplois qu'on y a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8.2).</w:t>
      </w:r>
    </w:p>
    <w:p>
      <w:r>
        <w:rPr>
          <w:b/>
        </w:rPr>
        <w:t>E. 6.2.2</w:t>
      </w:r>
    </w:p>
    <w:p>
      <w:r>
        <w:t>A ce jour, il est notoire que l'Ouganda ne connaît pas une situation de guerre, de guerre civile ou de violence généralisée qui permettrait d'emblée - et indépendamment des circonstances du cas d'espèce - de présumer, au sujet de tous les ressortissants de ce pays, l'existence d'une mise en danger concrète au sens de l'art. 83 al. 4 LEtr (cf. arrêt du TAF D-7845/2015 du 27 avril 2016 p. 7).</w:t>
      </w:r>
    </w:p>
    <w:p>
      <w:r>
        <w:rPr>
          <w:b/>
        </w:rPr>
        <w:t>E. 6.3</w:t>
      </w:r>
    </w:p>
    <w:p>
      <w:r>
        <w:t>Reste à examiner si le retour de l'intéressée en Ouganda équivaudrait à la mettre concrètement en danger en raison de sa situation personnelle.</w:t>
      </w:r>
    </w:p>
    <w:p>
      <w:r>
        <w:rPr>
          <w:b/>
        </w:rPr>
        <w:t>E. 6.3.1</w:t>
      </w:r>
    </w:p>
    <w:p>
      <w:r>
        <w:t>A propos des menaces que le frère aîné de X._______ aurait proférées à son endroit, lorsqu'il aurait appris, en décembre 2011, qu'elle entretiendrait une relation homosexuelle à Genève, le Tribunal constate que l'intéressée n'a pas rapporté la preuve de sa prétendue liaison homosexuelle en Suisse (cf. consid. 4). Cela étant, même si tel était le cas, elle n'a pas démontré de manière satisfaisante avoir fait l'objet de réelles menaces privées de la part de son frère, le courrier de celui-ci étant rédigé en termes trop généraux pour que l'on puisse en déduire de réelles menaces concrètes (cf. courrier du 5 janvier 2012). Par ailleurs, cet écrit, comme celui daté du 21 juin 2014 d'un cousin, paraissent tous deux être rédigés pour les seuls besoins de la cause.</w:t>
      </w:r>
    </w:p>
    <w:p>
      <w:r>
        <w:rPr>
          <w:b/>
        </w:rPr>
        <w:t>E. 6.3.2</w:t>
      </w:r>
    </w:p>
    <w:p>
      <w:r>
        <w:t>Le Tribunal relève aussi que rien ne permet d'admettre que les autorités ougandaises n'accorderaient pas, en cas de besoin, leur protection à X._______. La loi ougandaise invitant à la délation des homosexuels ayant été abrogée en août 2014 (cf. consid. 5.5 ci-dessus), la prénommée bénéficie ainsi des mêmes droits que tout autre citoyen ougandais. Enfin, rien ne contrait la recourante à retourner à Kampala, dans la mesure où elle demeure parfaitement libre de s'installer dans une autre région d'Ouganda, loin de sa famille. S'agissant des autres moyens de preuve produits, à savoir des articles tirés d'Internet concernant la répression de l'homosexualité en Ouganda, ceux-ci ne concernent pas la recourante personnellement et ne sont donc pas de nature à démontrer la réalité des motifs de sa demande de protection. La recourante n'a ainsi pas établi que les difficultés qu'elle pourrait rencontrer en Ouganda seraient plus graves pour elle que pour n'importe lequel de ses concitoyens, appelé à quitter la Suisse au terme de son séjour.</w:t>
      </w:r>
    </w:p>
    <w:p>
      <w:r>
        <w:rPr>
          <w:b/>
        </w:rPr>
        <w:t>E. 6.3.3</w:t>
      </w:r>
    </w:p>
    <w:p>
      <w:r>
        <w:t>Cela étant, le Tribunal observe que X._______ est arrivée en Suisse le 28 décembre 2009, alors qu'elle était âgée de 46 ans et demi. Agée aujourd'hui de 54 ans, l'intéressée n'a jamais été au bénéfice d'une quelconque autorisation. Lors de l'introduction de sa demande d'autorisation de séjour pour études, elle a indiqué dans son curriculum vitae et son formulaire de demande d'autorisation de séjour être veuve. Aujourd'hui âgée de 54 ans, la recourante se verrait donc contrainte de retourner dans un pays qu'elle a quitté il y 7 ans et demi. Il s'impose de relever que l'intéressée a vécu la majeure partie de sa vie en Ouganda, où elle a étudié et obtenu un diplôme de secrétaire en 1982 et où elle a travaillé pour de nombreuses organisations internationales durant plus de vingt ans (1984 à mars 2007), puis en qualité de secrétaire indépendante jusqu'en décembre 2009 (cf. curriculum vitae, dossier cantonal). Au vu des nombreux contacts professionnels de l'intéressée dans son pays (cf. curriculum vitae, dossier cantonal), de l'acquisition de la langue française durant son séjour en Suisse, et de sa grande expérience professionnelle acquise dans son pays d'origine, tout porte à croire qu'elle pourra s'y réintégrer socialement et professionnellement. Il peut donc être attendu de X._______ qu'elle mette à profit ses connaissances, en particulier linguistiques, et ses contacts sociaux et professionnels dans son pays pour s'y réinstaller.</w:t>
      </w:r>
    </w:p>
    <w:p>
      <w:r>
        <w:rPr>
          <w:b/>
        </w:rPr>
        <w:t>E. 6.4</w:t>
      </w:r>
    </w:p>
    <w:p>
      <w:r>
        <w:t>Sur le plan médical, il y a lieu d'examiner si le problème de santé invoqué impliquerait une mise en danger concrète de l'intéressée et si l'exécution de son renvoi de Suisse s'avèrerait dès lors, sous cet angle, inexigible.</w:t>
      </w:r>
    </w:p>
    <w:p>
      <w:r>
        <w:rPr>
          <w:b/>
        </w:rPr>
        <w:t>E. 6.4.1</w:t>
      </w:r>
    </w:p>
    <w:p>
      <w:r>
        <w:t>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l'intéressée,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l'exécution du renvoi dans ce pays sera raisonnablement exigible. Elle ne le sera toutefois plus si en raison de l'absence de possibilités de traitement adéquat, l'état de santé de l'intéressée se dégraderait très rapidement au point de conduire d'une manière certaine à la mise en danger concrète de sa vie ou à une atteinte sérieuse, durable et grave de son intégrité physique (cf. ATAF 2011/50 consid. 8.3 par. 1 p. 1003 s. et réf. cit., ATAF 2009/2 consid. 9.3.2).</w:t>
      </w:r>
    </w:p>
    <w:p>
      <w:r>
        <w:rPr>
          <w:b/>
        </w:rPr>
        <w:t>E. 6.4.2</w:t>
      </w:r>
    </w:p>
    <w:p>
      <w:r>
        <w:t>En l'espèce, il ressort des certificats médicaux produits que X._______ souffre de goutte, d'hypertension artérielle et d'obésité et que depuis novembre 2013, elle suit un traitement médicamenteux pour une arthrite goutteuse (cf. certificats médicaux des 26 avril 2016 et 17 mai 2016).</w:t>
      </w:r>
    </w:p>
    <w:p>
      <w:r>
        <w:rPr>
          <w:b/>
        </w:rPr>
        <w:t>E. 6.4.3</w:t>
      </w:r>
    </w:p>
    <w:p>
      <w:r>
        <w:t>Or, l'Ouganda assure la gratuité des soins à ses ressortissants (cf. arrêt du TAF E-442/2015 du 13 mars 2015 p. 7). Au demeurant, le traitement prescrit à la recourante ne peut être qualifié de lourd. Ainsi, l'état de santé de X._______ n'est pas d'une gravité telle que l'exécution de son renvoi contreviendrait à l'art. 83 al. 4 LEtr.</w:t>
      </w:r>
    </w:p>
    <w:p>
      <w:r>
        <w:rPr>
          <w:b/>
        </w:rPr>
        <w:t>E. 6.5</w:t>
      </w:r>
    </w:p>
    <w:p>
      <w:r>
        <w:t>Pour ces motifs, l'exécution du renvoi doit être considérée comme raisonnablement exigible.</w:t>
      </w:r>
    </w:p>
    <w:p>
      <w:r>
        <w:rPr>
          <w:b/>
        </w:rPr>
        <w:t>E. 7</w:t>
      </w:r>
    </w:p>
    <w:p>
      <w:r>
        <w:t>Enfin, la recourante est en possession de documents suffisants pour rentrer dans son pays d'origine. L'exécution du renvoi ne se heurte donc pas à des obstacles insurmontables d'ordre technique et s'avère également possible (cf. ATAF 2008/34 consid. 12).</w:t>
      </w:r>
    </w:p>
    <w:p>
      <w:r>
        <w:rPr>
          <w:b/>
        </w:rPr>
        <w:t>E. 8</w:t>
      </w:r>
    </w:p>
    <w:p>
      <w:r>
        <w:t>Il ressort de ce qui précède que, par sa décision du 25 novembre 2014, l'autorité intimée n'a ni violé le droit fédéral, ni constaté des faits pertinents de manière inexacte ou incomplète; en outre, la décision attaquée n'est pas inopportune (cf. art. 49 PA). En conséquence, le recours doit être rejeté. Vu l'issue de la cause, il y a lieu de mettre les frais de procédure à la charge de la recourante, conformément aux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