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F-4609/2022 vom 17. März 2023</w:t>
      </w:r>
    </w:p>
    <w:p>
      <w:r>
        <w:t>Bundesverwaltungsgericht, 2023-03-17, DE</w:t>
      </w:r>
    </w:p>
    <w:p>
      <w:r>
        <w:rPr>
          <w:b/>
        </w:rPr>
        <w:t xml:space="preserve">Quelle: </w:t>
      </w:r>
      <w:r>
        <w:t>https://mcp.opencaselaw.ch/entscheid/bvger_F-4609_2022</w:t>
      </w:r>
    </w:p>
    <w:p>
      <w:r>
        <w:t>FR: TAF F-4609/2022 du 17 mars 2023</w:t>
      </w:r>
    </w:p>
    <w:p>
      <w:r>
        <w:t>IT: TAF F-4609/2022 del 17 marzo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31 ff. VGG). Das Rechtsmittelverfahren richtet sich nach dem VwVG, soweit das VGG nichts anderes bestimmt (Art. 37 VGG).</w:t>
      </w:r>
    </w:p>
    <w:p>
      <w:r>
        <w:rPr>
          <w:b/>
        </w:rPr>
        <w:t>E. 1.2</w:t>
      </w:r>
    </w:p>
    <w:p>
      <w:r>
        <w:t>Der Beschwerdeführer hat am vorangegangenen Einspracheverfahren teilgenommen (SEM act. 1 S. 7 und S. 42) und ist als Gastgeber der Gesuchstellerin durch den angefochtenen Entscheid besonders berührt. Obwohl der ursprünglich angestrebte Besuchszeitraum inzwischen abgelaufen ist, kann auf ein fortbestehendes Rechtsschutzinteresse geschlossen werden. Der Beschwerdeführer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Entscheids (vgl. BVGE 2014/1 E. 2 m.H.).</w:t>
      </w:r>
    </w:p>
    <w:p>
      <w:r>
        <w:rPr>
          <w:b/>
        </w:rPr>
        <w:t>E. 3</w:t>
      </w:r>
    </w:p>
    <w:p>
      <w:r>
        <w:t>Der angefochtenen Verfügung liegt das Gesuch einer syrischen Staatsangehörigen um Erteilung eines Visums zu Besuchszwecken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vom 15. August 2018 über die Einreise und die Visumserteilung [VEV]; vgl. auch Art. 2 Ziff. 6 SGK; Art. 5 Abs. 1 Bst. a AIG). Als sri-lankische Staatsangehörige unterliegt die Gesuchstellerin unbestrittenermassen der Visumspflicht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Art. 5 Abs. 2 AIG; BVGE 2014/1 E. 4.3 und 4.4).</w:t>
      </w:r>
    </w:p>
    <w:p>
      <w:r>
        <w:rPr>
          <w:b/>
        </w:rPr>
        <w:t>E. 4.3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Den Behörden kommt bei der Beurteilung, ob die Voraussetzungen für die Visumserteilung erfüllt sind, ein weiter Beurteilungsspielraum zu (BVGE 2014/1 E. 4.1.5 in fine).</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anderem Gebrauch machen, wenn er es aus humanitären Gründen, aus solchen des nationalen Interesses oder aufgrund internationaler Verpflichtungen für erforderlich hält (vgl. Art. 3 Abs. 4 VEV; Art. 25 Abs. 1 VK; Art. 6 Abs. 5 Bst. c SGK).</w:t>
      </w:r>
    </w:p>
    <w:p>
      <w:r>
        <w:rPr>
          <w:b/>
        </w:rPr>
        <w:t>E. 5.1</w:t>
      </w:r>
    </w:p>
    <w:p>
      <w:r>
        <w:t>Aufgrund ihrer Staatszugehörigkeit unterliegt die Gesuchstellerin der Visumspflicht (vgl. E. 4.1 in fine). Bei der Prüfung der Einreisevoraussetzungen nach Art. 6 Abs. 1 SGK ist die Frage der gesicherten Wiederausreise zentral. Eine solche erachtete das SEM aufgrund der allgemeinen Situation im Heimatland und der persönlichen Verhältnisse der Besucherin als nicht genügend gewährleistet.</w:t>
      </w:r>
    </w:p>
    <w:p>
      <w:r>
        <w:rPr>
          <w:b/>
        </w:rPr>
        <w:t>E. 5.2</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Die Beweisführungslast obliegt dabei der drittstaatsangehörigen Person (Art. 14 Abs. 1 Bst. d VK; Art. 14 Abs. 3 i.V.m. Anhang II VK; Art. 5 Abs. 1 Bst. c SGK; Art. 5 Abs. 2 AIG).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und/oder sozial ungünstigen Verhältnissen rechtfertigt sich eine strenge Praxis, da die persönliche Interessenlage in solchen Fällen erfahrungsgemäss häufig nicht mit dem Ziel und Zweck einer zeitlich befristeten Einreisebewilligung im Einklang steht (BVGE 2014/1 E. 6.1 m.H.; Urteile des BVGer F-5229/2019 vom 20. März 2020 E. 5.1 und F-190/2017 vom 9. Oktober 2018 E. 6, nicht publ. in: BVGE 2018 VII/6).</w:t>
      </w:r>
    </w:p>
    <w:p>
      <w:r>
        <w:rPr>
          <w:b/>
        </w:rPr>
        <w:t>E. 5.3</w:t>
      </w:r>
    </w:p>
    <w:p>
      <w:r>
        <w:t>Sri Lanka befindet sich aktuell in einer schweren Wirtschafts- und Finanzkrise, wobei es zu Engpässen bei der Versorgung mit Gütern wie Treibstoff, Strom, Medikamenten und Lebensmitteln kommt. Die Verschlechterung der wirtschaftlichen Lage Sri Lankas beschleunigte sich ab 2019 in Folge politischer Fehlentscheide (bspw. abruptes Verbot von chemischem Dünger) und finanziellem Missmanagement. Diese Entwicklung wurde durch die negativen Auswirkungen der Pandemie noch verstärkt (vgl. &lt; https://www.seco.admin.ch &gt; Aussenwirtschaft &amp; Wirtschaftliche Zusammenarbeit &gt; Wirtschaftsbeziehungen &gt; Länderinformationen &gt; Asien &gt; Südasien &gt; Sri Lanka &gt; Wirtschaftsbericht 2022, abgerufen im März 2023). Dies hat zu landesweiten Protesten und teilweise gewaltsamen Ausschreitungen sowie schliesslich dazu geführt, dass Präsident Gotabaya Rajapaksa im Juli 2022 das Land verlassen hat. Es bestehen weiterhin hohe politische und soziale Spannungen, wobei die weitere Entwicklung der Lage ungewiss ist. Seit den terroristischen Anschlägen am Ostersonntag 2019 bleibt auch die Sicherheitslage angespannt (&lt; https://www.eda.admin.ch &gt; Reisehinweise und Vertretungen &gt; Reisehinweise für Sri Lanka, publiziert am 08.02.2023, abgerufen im März 2023). Auf dem aktuellen Index der menschlichen Entwicklung, der durch das Entwicklungsprogramm der Vereinten Nationen im Sinne eines Wohlstandsindikators erstellt wird, belegt Sri Lanka Platz 73 von 191 gelisteten Staaten (vgl. &lt; https://hdr.undp.org Reports and Publications Human Development Report 2021-22, abgerufen im März 2023). Die Gesuchstellerin lebt in Jaffna, der Hauptstadt der Nordprovinz Sri Lankas (SEM act. 3 S. 27). Insbesondere im Norden und Osten des Landes, den ehemaligen Bürgerkriegsregionen, ist die Militärpräsenz und Überwachung weiterhin gross (vgl. &lt; https://www.fluechtlingshilfe.ch &gt; Themen &gt; Länderinformationen &gt; Herkunftsländer &gt; Sri Lanka &gt; Fluchtgründe, abgerufen im März 2023). Zudem besteht ein erhebliches Risiko von Minen und Blindgängern (vgl. &lt; https://www.eda.admin.ch/eda/de/home/vertretungen-und-reisehinweise/sri-lanka/reisehinweise-fuersrilanka.html#eda32cd22 &gt; Reisehinweise für Sri Lanka, Spezifische regionale Risiken, abgerufen im März 2023).</w:t>
      </w:r>
    </w:p>
    <w:p>
      <w:r>
        <w:rPr>
          <w:b/>
        </w:rPr>
        <w:t>E. 5.4</w:t>
      </w:r>
    </w:p>
    <w:p>
      <w:r>
        <w:t>Vor diesem Hintergrund ist nicht zu beanstanden, dass die Vorinstanz das Risiko einer nicht fristgerechten Wiederausreise von Besuchern aus Sri Lanka grundsätzlich als hoch einstuft, insbesondere wenn im westlichen Ausland bereits ein gewisses familiäres Beziehungsnetz besteht (s. auch Urteil des BVGer F-5482/2021 vom 27. Dezember 2022 E. 4.3).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ebenfalls die weiteren Umstände zu würdigen. Dabei sind in die Prognose hinsichtlich der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w:t>
      </w:r>
    </w:p>
    <w:p>
      <w:r>
        <w:rPr>
          <w:b/>
        </w:rPr>
        <w:t>E. 6</w:t>
      </w:r>
    </w:p>
    <w:p>
      <w:r>
        <w:t>Es ist daher zu prüfen, inwiefern die persönliche, familiäre, berufliche und wirtschaftliche Situation der Gesuchstellerin für ihre fristgerechte Ausreise aus der Schweiz spricht.</w:t>
      </w:r>
    </w:p>
    <w:p>
      <w:r>
        <w:rPr>
          <w:b/>
        </w:rPr>
        <w:t>E. 6.1</w:t>
      </w:r>
    </w:p>
    <w:p>
      <w:r>
        <w:t>Bezüglich ihrer privaten Situation in Sri Lanka lässt sich den Akten entnehmen, dass die 65-jährige verheiratet ist und zusammen mit ihrem 71-jährigen Ehemann lebt (SEM act. 3 S. 34). Von den vier erwachsenen Kindern leben drei im Vereinigten Königreich und eine Tochter (Ehefrau des Beschwerdeführers) in der Schweiz. Die Gesuchstellerin gibt ohne nähere Erklärung an, der Ehemann sei im Alltagsleben auf sie angewiesen, bleibt aber jeglichen Beweis dafür schuldig. Besondere soziale oder familiäre Verpflichtungen, welche sie von einer Emigration abhalten könnten, sind somit nicht erkennbar.</w:t>
      </w:r>
    </w:p>
    <w:p>
      <w:r>
        <w:rPr>
          <w:b/>
        </w:rPr>
        <w:t>E. 6.2</w:t>
      </w:r>
    </w:p>
    <w:p>
      <w:r>
        <w:t>Auch in wirtschaftlicher Hinsicht kann nichts zu ihren Gunsten abge-leitet werden. Die Gesuchstellerin selbst geht keiner Erwerbstätigkeit nach und hat somit keine berufliche Verpflichtungen. Sie erhält zusammen mit ihrem Ehemann ein monatliches Einkommen aus Rente und Kapitalerträgen von LKR 120'000, was rund CHF 315 und somit einem durchschnittlichen Gehalt pro Person in Sri Lanka entspricht (SEM act. 3 S. 34; vgl. &lt; https://www.laenderdaten.info/durchschnittseinkommen.php &gt; Durchschnittliches Einkommen weltweit, abgerufen im März 2023). Es kann also nicht davon ausgegangen werden, die Gesuchstellerin lebe in wirtschaftlich günstigen oder privilegierten Einkommensverhältnissen, welche sie verlässlich von einer Emigration abzuhalten vermöchten. Sodann gibt die Gesuchstellerin an, Eigentümerin eines Grundstücks zu sein, welches mit umgerechnet CHF 28'100 zu bewerten sei (SEM act. 3 S. 34). Hierzu gilt es jedoch zu bedenken, dass selbst Grundeigentum keine hinreichende Gewähr für eine fristgerechte und anstandslose Wiederausreise der Gesuchstellerin bietet, da im Fall einer Migration solche Vermögenswerte nicht verloren gehen würden (BVGer F-4758/2018 vom 14. April 2020 E. 6.3.2 m.w.H.).</w:t>
      </w:r>
    </w:p>
    <w:p>
      <w:r>
        <w:rPr>
          <w:b/>
        </w:rPr>
        <w:t>E. 6.3</w:t>
      </w:r>
    </w:p>
    <w:p>
      <w:r>
        <w:t>Vor dem dargelegten allgemeinen und persönlichen Hintergrund durfte die Vorinstanz davon ausgehen, dass keine hinreichende Gewähr für eine fristgerechte anstandslose Wiederausreise der Gesuchstellerin nach einem Besuchsaufenthalt besteht. Trotz der guten Absichten des Beschwerdeführers gilt es zu bedenken, dass er in seiner Eigenschaft als Gastgeber zwar für gewisse finanzielle Risiken Garantie leisten kann, nicht aber - mangels rechtlicher und faktischer Durchsetzbarkeit - für ein bestimmtes Verhalten der eingeladenen Person (vgl. BVGE 2014/1 E. 6.3.7 und BVGE 2009/27 E. 9). An der Richtigkeit der Einschätzung der Vorinstanz ändert auch nichts, dass sich in den Akten Schreiben der in der Schweiz lebenden Familie der Gesuchstellerin (Enkelin, Enkel, Schwiegersohn) finden, welche die fristgerechte Rückreise der Gesuchstellerin in ihr Heimatland versichern (SEM act. 1 S. 6-8). Vielmehr ist dem Umstand Rechnung zu tragen, dass alle vier Kinder der Gesuchstellerin ihr Heimatland definitiv verlassen und sich im Vereinigten Königreich bzw. der Schweiz niedergelassen haben. Angesichts dieser Gegebenheiten im nächsten Umfeld der Gesuchstellerin vermag der Beschwerdeführer die Zweifel an einer fristgerechten Wiederausreise nicht auszuräumen.</w:t>
      </w:r>
    </w:p>
    <w:p>
      <w:r>
        <w:rPr>
          <w:b/>
        </w:rPr>
        <w:t>E. 6.4</w:t>
      </w:r>
    </w:p>
    <w:p>
      <w:r>
        <w:t>Zum Vorschlag des Beschwerdeführers, als Garantie für die fristgerechte Wiederausreise der Gesuchstellerin den Kaufvertrag über sein Wohneigentum zu hinterlegen (BVGer act. 1 S. 2), gilt es anzumerken, dass dies unbehelflich und zudem rechtlich fragwürdig ist. Letztlich vermag der Beschwerdeführer auch aus dem Umstand, wonach seine eigene Mutter viermal in der Schweiz gewesen sei und jeweils problemlos ein Visum bekommen habe, nichts zugunsten der Gesuchstellerin abzuleiten, zumal jeder konkrete Einzelfall individuell zu beurteilen ist (BVGer act. 7).</w:t>
      </w:r>
    </w:p>
    <w:p>
      <w:r>
        <w:rPr>
          <w:b/>
        </w:rPr>
        <w:t>E. 6.5</w:t>
      </w:r>
    </w:p>
    <w:p>
      <w:r>
        <w:t>Nach dem Gesagten vermag das private Interesse der Gesuchstellerin an einem Besuch in der Schweiz das öffentliche Interesse an der Vermeidung des Risikos eines vorschriftswidrigen Verbleibs in der Schweiz nicht zu überwiegen. Ihr an sich verständlicher Wunsch, ihre Tochter und Enkelkinder nach 11 Jahren wiederzusehen und an der Geburtstagsfeier Ihrer Enkelkinder teilzunehmen, hat demnach in den Hintergrund zu treten (s. auch Urteil des BVGer F-2165/2020 vom 12. April 2021 E. 7).</w:t>
      </w:r>
    </w:p>
    <w:p>
      <w:r>
        <w:rPr>
          <w:b/>
        </w:rPr>
        <w:t>E. 6.6</w:t>
      </w:r>
    </w:p>
    <w:p>
      <w:r>
        <w:t>Zusammenfassend ergibt sich, dass die Voraussetzungen für die Erteilung eines einheitlichen Visums für den Schengen-Raum nicht erfüllt sind. Gründe für die Ausstellung eines Visums mit räumlich beschränkter Gültigkeit (vgl. dazu E. 4.5) wurden von den Beteiligten nicht geltend gemacht und sind auch nicht ersichtlich.</w:t>
      </w:r>
    </w:p>
    <w:p>
      <w:r>
        <w:rPr>
          <w:b/>
        </w:rPr>
        <w:t>E. 7</w:t>
      </w:r>
    </w:p>
    <w:p>
      <w:r>
        <w:t>Aus diesen Darlegungen folgt, dass die angefochtene Verfügung im Lichte von Art. 49 VwVG nicht zu beanstanden ist. Die Beschwerde ist abzuweisen.</w:t>
      </w:r>
    </w:p>
    <w:p>
      <w:r>
        <w:rPr>
          <w:b/>
        </w:rPr>
        <w:t>E. 8</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