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F-4592/2014 vom 2. Dezember 2016</w:t>
      </w:r>
    </w:p>
    <w:p>
      <w:r>
        <w:t>Bundesverwaltungsgericht, 2016-12-02, DE</w:t>
      </w:r>
    </w:p>
    <w:p>
      <w:r>
        <w:rPr>
          <w:b/>
        </w:rPr>
        <w:t xml:space="preserve">Quelle: </w:t>
      </w:r>
      <w:r>
        <w:t>https://mcp.opencaselaw.ch/entscheid/bvger_F-4592_2014</w:t>
      </w:r>
    </w:p>
    <w:p>
      <w:r>
        <w:t>FR: TAF F-4592/2014 du 2 décembre 2016</w:t>
      </w:r>
    </w:p>
    <w:p>
      <w:r>
        <w:t>IT: TAF F-4592/2014 del 2 dicembre 2016</w:t>
      </w:r>
    </w:p>
    <w:p>
      <w:pPr>
        <w:pStyle w:val="Heading2"/>
      </w:pPr>
      <w:r>
        <w:t>Regeste</w:t>
      </w:r>
    </w:p>
    <w:p>
      <w:r>
        <w:t>Einreiseverbot</w:t>
      </w:r>
    </w:p>
    <w:p>
      <w:pPr>
        <w:pStyle w:val="Heading2"/>
      </w:pPr>
      <w:r>
        <w:t>Erwägungen</w:t>
      </w:r>
    </w:p>
    <w:p>
      <w:r>
        <w:rPr>
          <w:b/>
        </w:rPr>
        <w:t>E. 1.1</w:t>
      </w:r>
    </w:p>
    <w:p>
      <w:r>
        <w:t>Verfügungen des BFM bzw.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nimmt in seiner Replik Bezug auf die Befristung des ursprünglich unbefristeten Einreiseverbots auf 15 Jahre, welche die Vorinstanz im Rahmen des Vernehmlassungsverfahrens gestützt auf Art. 58 VwVG vornahm, und vertritt die Auffassung, dass diese Befristung "faktisch" einer deutlichen Verschärfung des Einreiseverbots entspreche. Vor diesem Hintergrund beanstandet der Beschwerdeführer in formeller Hinsicht, dass ihm diese in ihren rechtlichen Konsequenzen erhebliche Befristung der Massnahme auf 15 Jahre "ohne Eröffnung eines Rechtsmittels" indirekt via Bundesverwaltungsgericht zur Kenntnis gebracht werde. Er ersucht "um entsprechende Berücksichtigung".</w:t>
      </w:r>
    </w:p>
    <w:p>
      <w:r>
        <w:rPr>
          <w:b/>
        </w:rPr>
        <w:t>E. 3.2</w:t>
      </w:r>
    </w:p>
    <w:p>
      <w:r>
        <w:t>Die nachträgliche Befristung eines ursprünglich unbefristeten Einreiseverbots auf 15 Jahre stellt keine Anpassung zuungunsten der Partei dar und wahrt daher die materiellen Schranken des nach Art. 58 Abs. 1 VwVG Zulässigen (vgl. dazu Andrea Pfleiderer, in: Waldmann/Weissenberger [Hrsg.], Praxiskommentar VwVG, 2. Aufl. 2016, N 38 ff. zu Art. 58 VwVG). Doch selbst wenn es sich anders verhielte, hätte das Vorgehen der Vorinstanz keinen Einfluss auf den Ausgang des vorliegenden Verfahrens: Denn das Rückkommen der Vorinstanz wäre in diesem Fall als Antrag auf Befristung einer nach der neuen Rechtsprechung des Bundesverwaltungsgerichts (vgl. dazu E. 4.1) zwingend zu befristenden Fernhaltemassnahme zu werten (Pfleiderer, a.a.O., N 39 zu Art. 58 VwVG).</w:t>
      </w:r>
    </w:p>
    <w:p>
      <w:r>
        <w:rPr>
          <w:b/>
        </w:rPr>
        <w:t>E. 3.3</w:t>
      </w:r>
    </w:p>
    <w:p>
      <w:r>
        <w:t>Es trifft sodann zwar zu, dass die Vorinstanz das in Art. 58 Abs. 2 VwVG vorgesehene Verfahren nicht respektierte, indem sie nicht selbst für die Eröffnung ihrer Verfügung besorgt war, sondern das Rückkommen zum Teil ihrer Vernehmlassung machte und es dem Bundesverwaltungsgericht überliess, die Partei zu informieren. Dieser Formfehler muss jedoch ohne Rechtsfolgen bleiben, da dem Beschwerdeführer daraus keinerlei Nachteile erwachsen sind. Das Rechtsmittelverfahren wurde nach Massgabe von Art. 58 Abs. 3 VwVG fortgesetzt, und der Beschwerdeführer konnte sich uneingeschränkt zur neuen Rechtslage äussern.</w:t>
      </w:r>
    </w:p>
    <w:p>
      <w:r>
        <w:rPr>
          <w:b/>
        </w:rPr>
        <w:t>E. 4.1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ergeben (vgl. BGE 139 II 121 E. 6.3; Urteil des BGer 2C 270/2015 vom 6. August 2015 E. 4.2; BVGE 2013/4 E. 7.2.4; Urteil des BVGer C-5602/2012 vom 16. Januar 2015 E. 6.1 m.H.).</w:t>
      </w:r>
    </w:p>
    <w:p>
      <w:r>
        <w:rPr>
          <w:b/>
        </w:rPr>
        <w:t>E. 5.1</w:t>
      </w:r>
    </w:p>
    <w:p>
      <w:r>
        <w:t>In Berücksichtigung der neuesten Rechtsprechung des Bundesverwaltungsgerichts zur Befristung von Einreiseverboten (BVGE 2014/20) kam die Vorinstanz im Rahmen des Vernehmlassungsverfahrens wiedererwägungsweise auf die angefochtene Verfügung zurück und begrenzte das Einreiseverbot auf 15 Jahre. Indem sie dies tat, ging sie implizit davon aus, dass vom Beschwerdeführer eine schwerwiegende Gefahr für die öffentliche Sicherheit und Ordnung im Sinne von Art. 67 Abs. 3 zweiter Satz AuG ausgeht. Demzufolge sah sie sich an die grundsätzliche Begrenzung eines Einreiseverbots auf fünf Jahre Dauer, wie sie von Art. 67 Abs. 3 erster Satz AuG vorgesehen wird, nicht gebunden.</w:t>
      </w:r>
    </w:p>
    <w:p>
      <w:r>
        <w:rPr>
          <w:b/>
        </w:rPr>
        <w:t>E. 5.2</w:t>
      </w:r>
    </w:p>
    <w:p>
      <w:r>
        <w:t>Den Akten lässt sich entnehmen, dass der Beschwerdeführer in den Jahren 2006 bis 2008 wiederholt straffällig wurde. Dabei zeigte er sich von der durch das Jugendgericht Bern-Mittelland im Oktober 2006 bedingt ausgesprochenen Einschliessung völlig unbeeindruckt: Denn bereits zwei Monate später verübte er bandenmässig und unter Offenbarung besonderer Gefährlichkeit eine Reihe von Raubüberfällen. Der Beschwerdeführer liess sich in der Folge weder vom eingeleiteten Strafverfahren noch von Untersuchungshaft davon abhalten, weiter zu delinquieren, wobei sich die Schwere seiner Delikte in einschlägigen und sensiblen Deliktsbereichen fortlaufend steigerte. In diesem Kontext kam es am 29. August 2008 zwischen dem Beschwerdeführer und mehreren anderen Personen einerseits sowie einem Drogenverkäufer andererseits zu einem heftigen Streit. In dessen Verlauf wurde der Drogenverkäufer vom Beschwerdeführer und seinen Mittätern derart schwer verletzt, dass er später verstarb. Nach den Feststellungen des Strafgerichts tat sich der Beschwerdeführer hervor, indem er mehrfach heftig und besonders brutal auf das gesundheitlich offensichtlich angeschlagene und schwächere Opfer einschlug. Die besondere Schwere seines Verschuldens findet ihren Ausdruck in der empfindlichen Freiheitsstrafe von achteinhalb Jahren, mit der das Kreisgericht VIII Bern-Laupen in seinem Urteil vom 31. März 2010 das Verhalten des Beschwerdeführer trotz Anerkennung einer leichten Verminderung der Steuerungsfähigkeit infolge Drogenkonsums sanktionierte.</w:t>
      </w:r>
    </w:p>
    <w:p>
      <w:r>
        <w:rPr>
          <w:b/>
        </w:rPr>
        <w:t>E. 5.3</w:t>
      </w:r>
    </w:p>
    <w:p>
      <w:r>
        <w:t>Dass das Verhalten des Beschwerdeführers, das der Verurteilung vom 31. März 2010 zugrunde liegt, als Verstoss gegen die öffentliche Sicherheit und Ordnung im Sinne von Art. 67 Abs. 2 Bst. a erster Halbsatz AuG zu werten ist, liegt auf der Hand und bedarf keiner näheren Erläuterung. Es kann vernünftigerweise auch nicht in Abrede gestellt werden, dass vom Beschwerdeführer zum damaligen Zeitpunkt nicht nur eine einfache Gefahr für die öffentliche Sicherheit und Ordnung im Sinne von Art. 67 Abs. 2 Bst. a AuG zweiter Halbsatz AuG ausging, sondern dass diese Gefahr im Sinne von Art. 67 Abs. 3 zweiter Satz AuG qualifiziert war. Der Beschwerdeführer legte während Jahren ein Verhalten an den Tag, dass von erheblicher krimineller Energie und Einsichtslosigkeit zeugt, wobei zu bemerken ist, dass der Beschwerdeführer die schwersten Delikte nicht mehr im Jugendalter, sondern als junger Erwachsener verübte. Erschwerend tritt hinzu, dass massive Gewaltdelikte, wie sie sich der Beschwerdeführer zuschulden kommen liess, wegen der Hochwertigkeit des betroffenen Rechtsguts sehr schwer wiegen, und dass daher in diesen Bereichen auch ein geringes Restrisiko nicht in Kauf genommen werden kann.</w:t>
      </w:r>
    </w:p>
    <w:p>
      <w:r>
        <w:rPr>
          <w:b/>
        </w:rPr>
        <w:t>E. 5.4</w:t>
      </w:r>
    </w:p>
    <w:p>
      <w:r>
        <w:t>Zu prüfen ist, wie es sich zum heutigen Zeitpunkt mit der Gefahr der künftigen Störung der öffentlichen Sicherheit und Ordnung verhält. Der Beschwerdeführer weist darauf hin, dass er in jungen Jahren der Unreife delinquiert habe, nämlich 2006 bis 2008 im Alter von 17 bis 19 Jahren. Die Freiheitsstrafe wurde denn auch zu Gunsten einer stationären Massnahme für junge Erwachsene aufgeschoben. Diese Massnahme sei erfolgreich verlaufen. Er habe seine Drogensucht nachweislich hinter sich gelassen und grosse Bereitschaft bewiesen, sich mit seinen deliktsrelevanten Persönlichkeitsanteilen selbstkritisch auseinanderzusetzen. Unter Beibehaltung der therapeutischen Betreuung hätten die zuständigen Therapeuten die Möglichkeit einer langfristigen Rückfallfreiheit bejaht. Die Massnahmenberichte der zuständigen Behörde lauteten denn auch durchwegs positiv und ergäben gesamthaft eine gute Prognose. Zudem sei zu erwarten, dass er sich mit zunehmenden Alter reifer und erwachsener verhalten werde. Die Tatsache, dass er im Massnahmenvollzug endlich von den Drogen weggekommen sei, müsse bei der Beurteilung der Rückfallgefahr ebenfalls zu seinen Gunsten ins Gewicht fallen. Weil er bei seinen vergangenen Delikten "meistens" unter Drogeneinfluss gehandelt habe, sei anzunehmen, dass er als Folge seiner erlangten Drogenfreiheit keine weiteren Delikte mehr begehen werde. Positiv sei zu vermerken, dass er am 26. August 2011 in den halboffenen Massnahmenvollzug versetzt worden sei, was zeige, dass Anstaltsleitung und Therapeuten ihm grosses Vertrauen entgegengebracht hätten, und dass er schliesslich am 5. Juli 2014 bedingt aus dem Massnahmenvollzug habe entlassen werden können.</w:t>
      </w:r>
    </w:p>
    <w:p>
      <w:r>
        <w:rPr>
          <w:b/>
        </w:rPr>
        <w:t>E. 5.5</w:t>
      </w:r>
    </w:p>
    <w:p>
      <w:r>
        <w:t>Zu Gunsten des Beschwerdeführers spricht sicherlich, dass er zum Zeitpunkt seiner Delinquenz minderjährig bzw. knapp volljährig war. Zu seinen Gunsten ist ferner festzustellen, dass er während des Massnahmenvollzugs eine grundsätzlich positive Persönlichkeitsentwicklung durchlief und - soweit bekannt - eine Berufsausbildung absolvieren konnte. Allerdings ist gleichzeitig auch darauf hinzuweisen, dass das Wohlverhalten während des stark strukturierten Massnahmenvollzugs und der ihm eigenen engmaschigen Kontrolle und Betreuung nur beschränkte Aussagekraft hat, wenn es zu beurteilen ist, ob sich eine Person auch in der Freiheit unter möglicherweise ungünstigen Bedingungen bewährt. Hinzu tritt, dass das Verhalten des Beschwerdeführers im Massnahmenvollzug keineswegs frei von Problemen war - er musste wiederholt diszipliniert werden, unter anderem wegen Konsums harter Drogen und Alkohols - und dass beim Beschwerdeführer trotz der erzielten Erfolge bis zuletzt psychische Dispositionen bestanden, die eine erneute kriminelle Entwicklung in Freiheit grundsätzlich ermöglichen könnten (narzisstisch gefärbte Selbstwahrnehmung, hohe Kränkbarkeit und Impulsivität, Dominanzanspruch, Defizite in der Kritikfähigkeit und Konfliktkultur). Im Massnahmenschlussbericht des Massnahmenzentrums Uitikon vom 17. Juni 2014 wurde denn auch das Rückfallrisiko für erneute Raub- und Gewaltdelikte nicht ausgeschlossen, sondern gestützt auf FOTRES und die klinische Einschätzung als "moderat ausgeprägt" beurteilt. Ob sich der Beschwerdeführer bewähren werde, sei schwierig einzuschätzen (Entscheid der POM vom 6. Februar 2012 E. 4c, BE-act. 147, Verfügung der Abteilung für Straf- und Massnahmenvollzug des Kantons Bern vom 26. Juni 2014 betr. bedingte Entlassung aus dem Massnahmenvollzug, BE-act. 295). In Freiheit jedoch befindet sich der Beschwerdeführer erst seit Sommer 2014, wobei über seine aktuellen Lebensumstände nichts Konkretes bekannt ist.</w:t>
      </w:r>
    </w:p>
    <w:p>
      <w:r>
        <w:rPr>
          <w:b/>
        </w:rPr>
        <w:t>E. 5.6</w:t>
      </w:r>
    </w:p>
    <w:p>
      <w:r>
        <w:t>Als Zwischenergebnis ist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6</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6.1</w:t>
      </w:r>
    </w:p>
    <w:p>
      <w:r>
        <w:t>Vom Beschwerdeführer geht, wie weiter oben ausgeführt wurde, eine schwerwiegende Gefahr für die öffentliche Sicherheit und Ordnung in einem besonders sensitiven Bereich aus. Darauf wurde bereits eingegangen, sodass an dieser Stelle auf weitere Erörterungen verzichtet werden kann. Entsprechend gross ist das Interesse an seiner langfristigen Fernhaltung. Gleichwohl können bei der Gewichtung des öffentlichen Interesses das Alter des Beschwerdeführers zum Zeitpunkt seiner Delinquenz, der Zeitablauf seit der letzten Straftat sowie die mehrheitlich positive Entwicklung seiner Persönlichkeit während des Massnahmenvollzugs nicht ausser Acht gelassen werden.</w:t>
      </w:r>
    </w:p>
    <w:p>
      <w:r>
        <w:rPr>
          <w:b/>
        </w:rPr>
        <w:t>E. 6.2</w:t>
      </w:r>
    </w:p>
    <w:p>
      <w:r>
        <w:t>Auf der anderen Seite sind wesentliche Lebensinteressen des Beschwerdeführers in der Schweiz verortet, wo er sich seit seiner Einreise im Alter von 5 Jahren bis zu seiner Ausreise im Sommer 2014 gut 20 Jahre lang ununterbrochen aufhielt. Er besuchte hier die Schulen und hier leben nach wie vor seine engsten Familienangehörigen. Hier lebt auch seine Verlobte, die seiner Darstellung nach während des Strafverfahrens zu ihm gehalten und die absolut keine Beziehung zum Kosovo habe. Allerdings sind die Lebensinteressen des Beschwerdeführers zu relativieren. Es wurde bereits im Verfahren auf Widerruf der Niederlassungsbewilligung festgehalten, dass beim Beschwerdeführer trotz seines langen Aufenthaltes in der Schweiz weder in beruflicher bzw. wirtschaftlicher noch in sozialer Hinsicht von einer gelungenen Integration gesprochen werden könne. Der Beschwerdeführer habe Verlustscheine erwirkt, eine Berufsausbildung erst während des Massnahmenvollzugs absolviert und keine persönlichen Kontakte zu Schweizer Bürgern ausserhalb seiner Familie unterhalten. Seine Beziehung zur Verlobten habe sodann zu keinem Zeitpunkt einen Grad an Stabilität erreicht, der sie als eheähnliche Gemeinschaft unter den Schutz der Garantie des Privat- und Familienlebens nach Art. 8 EMRK bzw. Art. 13 BV stellen würde (Entscheid der POM vom 6. Februar 2012 E. 5a, BE-act. 147, Urteil des Verwaltungsgerichts des Kantons Bern vom 5. Oktober 2012 E. 5.2 und 5.3.3, BE-act. 174; Urteil des BGer 2C_115/2012 vom 11.06.2013 E. 4.1 und 4.2). Seit dieser Beurteilung, die das Bundesverwaltungsgericht teilt, hat sich nichts zugetragen, was eine andere Bewertung rechtfertigen könnte.</w:t>
      </w:r>
    </w:p>
    <w:p>
      <w:r>
        <w:rPr>
          <w:b/>
        </w:rPr>
        <w:t>E. 6.3</w:t>
      </w:r>
    </w:p>
    <w:p>
      <w:r>
        <w:t>Es tritt ein Weiteres hinzu: Durch das Einreiseverbot werden dem Beschwerdeführer Besuchsaufenthalte bei seinen Angehörigen in der Schweiz nicht schlichtweg untersagt. Es steht ihm offen, aus wichtigen Gründen die zeitweilige Suspension der angeordneten Fernhaltemassnahme zu beantragen (Art. 67 Abs. 5 AuG). Wenn auch eine solche Suspension nur zurückhaltend und praxisgemäss nur für eine kurze und klar begrenzte Zeit gewährt wird, so sind doch Aufenthalte des Beschwerdeführers in der Schweiz in diesem Rahmen nicht ausgeschlossen. Der Pflege der Beziehungen im Heimatland des Beschwerdeführers bzw. mittels moderner Kommunikationsmittel steht die angefochtene Massnahme zum vornherein nicht entgegen. Die Schwere des Eingriffs in die Lebensinteressen des Beschwerdeführers erfährt in diesem Umfang ebenfalls eine Relativierung (vgl. dazu BVGE 2013/4 E. 7.4.1 bis 7.4.3 m.H.).</w:t>
      </w:r>
    </w:p>
    <w:p>
      <w:r>
        <w:rPr>
          <w:b/>
        </w:rPr>
        <w:t>E. 6.4</w:t>
      </w:r>
    </w:p>
    <w:p>
      <w:r>
        <w:t>Trotz dieser Relativierungen bleibt das Interesse des Beschwerdeführers an ungehindertem Zugang zur Schweiz erheblich. Allerdings vermag das private Interesse des Beschwerdeführers das öffentliche Interesse an seiner Fernhaltung nur teilweise zurückzudrängen. Eine wertende Gewichtung der sich gegenüberstehenden öffentlichen und privaten Interessen führt das Bundesverwaltungsgericht zum Ergebnis, dass das gegen den Beschwerdeführer verhängte Einreiseverbot dem Grundsatz nach zwar zu bestätigen ist. Die von der Vorinstanz in Ausschöpfung der rechtsprechungsgemässen Regelmaximaldauer (vgl. dazu E. 4.1) wiedererwägungsweise erfolgte Befristung der Massnahme auf 15 Jahre erscheint aber als unverhältnismässig. Für das Bundesverwaltungsgericht ist in diesem Zusammenhang insbesondere das Alter des Beschwerdeführers zum Zeitpunkt der Delinquenz von Bedeutung, ferner der Aufschub der Freiheitsstrafe zugunsten einer Massnahme für junge Erwachsene, die Ansätze einer positiven Entwicklung während des Massnahmenvollzugs und das nicht unerhebliche private Interesse des Beschwerdeführers. Das Bundesverwaltungsgericht erachtet es angesichts der gesamten Umstände als verhältnismässig und angemessen, das Einreiseverbot auf 10 Jahre zu befristen. Damit wird den auf dem Spiel stehenden öffentlichen und privaten Interessen hinreichend Rechnung getragen.</w:t>
      </w:r>
    </w:p>
    <w:p>
      <w:r>
        <w:rPr>
          <w:b/>
        </w:rPr>
        <w:t>E. 7</w:t>
      </w:r>
    </w:p>
    <w:p>
      <w:r>
        <w:t>Zu prüfen bleibt die von der Vorinstanz angeordnete und vom Beschwerdeführer beanstandete Ausschreibung des Einreiseverbots im SIS.</w:t>
      </w:r>
    </w:p>
    <w:p>
      <w:r>
        <w:rPr>
          <w:b/>
        </w:rPr>
        <w:t>E. 7.1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7.2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einhergehende zusätzliche Beeinträchtigung der persönlichen Bewegungsfreiheit hat der Beschwerdeführer in Kauf zu nehmen.</w:t>
      </w:r>
    </w:p>
    <w:p>
      <w:r>
        <w:rPr>
          <w:b/>
        </w:rPr>
        <w:t>E. 8</w:t>
      </w:r>
    </w:p>
    <w:p>
      <w:r>
        <w:t>Aus diesen Erwägungen folgt, dass das auf 15 Jahre befristete Einreiseverbot Bundesrecht verletzt (vgl. Art. 49 VwVG). Die Beschwerde ist daher teilweise gutzuheissen und das gegen den Beschwerdeführer verhängte Einreiseverbot auf 10 Jahre, d.h. bis zum 4. Juli 2024, zu befristen.</w:t>
      </w:r>
    </w:p>
    <w:p>
      <w:r>
        <w:rPr>
          <w:b/>
        </w:rPr>
        <w:t>E. 9.1</w:t>
      </w:r>
    </w:p>
    <w:p>
      <w:r>
        <w:t>Entsprechend dem Ausgang des vorliegenden Verfahrens sind dem Beschwerdeführer im Umfang des Unterliegens reduzierte Verfahrenskosten aufzuerlegen (Art. 63 Abs. 1 VwVG). Diese sind in Anwendung von Art. 1, 2 und 3 Bst. b des Reglements vom 21. Februar 2008 über die Kosten und Entschädigungen vor dem Bundesverwaltungsgericht (VGKE, SR 173.320.2) auf Fr. 600.- festzusetzen.</w:t>
      </w:r>
    </w:p>
    <w:p>
      <w:r>
        <w:rPr>
          <w:b/>
        </w:rPr>
        <w:t>E. 9.2</w:t>
      </w:r>
    </w:p>
    <w:p>
      <w:r>
        <w:t>Auf der anderen Seite ist dem Beschwerdeführer für die ihm erwachsenen notwendigen und verhältnismässig hohen Kosten im Umfang des Obsiegens eine gekürzte Parteientschädigung zulasten der Vorinstanz zuzusprechen (Art. 64 Abs. 1 und Abs. 2 VwVG). Diese ist mangels einer Kostennote auf Grund der Akten nach pflichtgemässem Ermessen festzusetzen (Art. 14 Abs. 2 VGKE).</w:t>
      </w:r>
    </w:p>
    <w:p>
      <w:r>
        <w:rPr>
          <w:b/>
        </w:rPr>
        <w:t>E. 9.3</w:t>
      </w:r>
    </w:p>
    <w:p>
      <w:r>
        <w:t>Mit Blick auf den aktenkundigen Aufwand der Rechtsvertretung, die Schwierigkeiten der Rechtssache und Vergleichsfälle erscheint es als angemessen, dem Beschwerdeführer zu Lasten der Vorinstanz eine reduzierte Parteientschädigung im Betrag von Fr. 800.- zuzusprechen. Bei der Bemessung der Parteientschädigung ist zu berücksichtigen, dass ein Mehrwertsteuerzuschlag mangels Steuerpflicht bei Dienstleistungen, die an im Ausland wohnhafte Mandanten erbracht werden, nicht geschuldet wird (vgl. Art. 9 Abs. 1 Bst. c VGKE i.V.m. Art. 1 Abs. 2 Bst. a MWSTG [SR 641.20] i.V.m. Art. 8 Abs. 1 MWSTG).</w:t>
      </w:r>
    </w:p>
    <w:p>
      <w:r>
        <w:rPr>
          <w:b/>
        </w:rPr>
        <w:t>E. 10</w:t>
      </w:r>
    </w:p>
    <w:p>
      <w:r>
        <w:t>Dieses Urteil ist endgültig (Art. 83 Bst. c Ziff. 1 BGG).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