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F-4561/2019 vom 8. März 2021</w:t>
      </w:r>
    </w:p>
    <w:p>
      <w:r>
        <w:t>Bundesverwaltungsgericht, 2021-03-08, FR</w:t>
      </w:r>
    </w:p>
    <w:p>
      <w:r>
        <w:rPr>
          <w:b/>
        </w:rPr>
        <w:t xml:space="preserve">Quelle: </w:t>
      </w:r>
      <w:r>
        <w:t>https://mcp.opencaselaw.ch/entscheid/bvger_F-4561_2019</w:t>
      </w:r>
    </w:p>
    <w:p>
      <w:r>
        <w:t>FR: TAF F-4561/2019 du 8 mars 2021</w:t>
      </w:r>
    </w:p>
    <w:p>
      <w:r>
        <w:t>IT: TAF F-4561/2019 del 8 marzo 2021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3</w:t>
      </w:r>
    </w:p>
    <w:p>
      <w:r>
        <w:t>L'interdiction d'entrée est régie par l'art. 67 de la loi fédérale du 16 décembre 2005 sur les étrangers et l'intégration (LEI, RS 142.20), qui s'intitule ainsi depuis la modification du 16 décembre 2016 - entrée partiellement en vigueur le 1er janvier 2019 (RO 2018 3171) - de la loi sur les étrangers du 16 décembre 2005 (LEtr).</w:t>
      </w:r>
    </w:p>
    <w:p>
      <w:r>
        <w:rPr>
          <w:b/>
        </w:rPr>
        <w:t>E. 3.1</w:t>
      </w:r>
    </w:p>
    <w:p>
      <w:r>
        <w:t>Selon l'art. 67 al. 2 let. a LEI, le SEM peut interdire l'entrée en Suisse à un étranger s'il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(respectivement dans l'Espace Schengen) est indésirable (arrêt du Tribunal fédéral [ci-après : le TF] 6B_173/2013 du 19 août 2013 consid. 2.3). Elle n'est pas considérée comme une peine sanctionnant un comportement déterminé, mais comme une mesure ayant pour but de prévenir une atteinte à la sécurité et à l'ordre publics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(Zünd/Arquint Hill, Beendigung der Anwesenheit, Entfernung und Fernhaltung, in : Uebersax et al. [éd.], Ausländerrecht, 2ème éd., 2009, no 8.80 ; ATF 139 II 121 consid. 6.5.1 ; ATAF 2017 VII/2 consid. 4.5).</w:t>
      </w:r>
    </w:p>
    <w:p>
      <w:r>
        <w:rPr>
          <w:b/>
        </w:rPr>
        <w:t>E. 3.3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136 II 447 consid. 3.1,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 arrêt du TF 2A.391/2003 du 30 août 2004 consid. 3.5).</w:t>
      </w:r>
    </w:p>
    <w:p>
      <w:r>
        <w:rPr>
          <w:b/>
        </w:rPr>
        <w:t>E. 4.1</w:t>
      </w:r>
    </w:p>
    <w:p>
      <w:r>
        <w:t>Il convient d'examiner, en premier lieu,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(arrêt du TF 2C_66/2018 du 7 mai 2018, consid. 5.3.1 ; Adank-Schärer/Antoniazza-Hafner, Interdiction d'entrée prononcée à l'encontre d'un étranger délinquant, AJP/PJA 7/2018, p. 889, note de bas de page no 32).</w:t>
      </w:r>
    </w:p>
    <w:p>
      <w:r>
        <w:rPr>
          <w:b/>
        </w:rPr>
        <w:t>E. 4.1.1</w:t>
      </w:r>
    </w:p>
    <w:p>
      <w:r>
        <w:t>Dans sa décision querellée, l'autorité inférieure a prononcé une interdiction d'entrée en Suisse d'une durée de dix ans à l'encontre du recourant. Le SEM s'est basé sur les condamnations pénales du recourant, plus spécialement sur celles des 2 septembre 2015 et 20 décembre 2018 (recte : 11 septembre 2018) et a estimé, au vu de la gravité et du nombre des infractions commises et de la mise en danger de la sécurité et de l'ordre publics qui en a découlé, qu'une mesure d'éloignement s'imposait. Le recourant ne conteste ni qu'il ait fait l'objet de plusieurs condamnations pénales ni même que son comportement justifie le principe du prononcé d'une interdiction d'entrée en Suisse.</w:t>
      </w:r>
    </w:p>
    <w:p>
      <w:r>
        <w:rPr>
          <w:b/>
        </w:rPr>
        <w:t>E. 4.1.2</w:t>
      </w:r>
    </w:p>
    <w:p>
      <w:r>
        <w:t>Au vu des actes pour lesquels l'intéressé a subi des condamnations pénales, il s'impose de constater qu'il a démontré, par le caractère récidivant des infractions qu'il a commises en Suisse, que les peines qui lui ont été infligées n'ont guère eu d'influence sur sa manière d'agir. Dans ces circonstances, le Tribunal est amené à conclure que le recourant, par son comportement délictueux en Suisse et sa propension à ne pas respecter les prescriptions légales, a indiscutablement attenté à la sécurité et l'ordre publics au sens de l'art. 77a al. 1 OASA, de sorte qu'il remplit les conditions d'application de l'art. 62 al. 2 let. a LEI. La mesure d'interdiction d'entrée prononcée le 7 août 2019 est dès lors justifiée dans son principe.</w:t>
      </w:r>
    </w:p>
    <w:p>
      <w:r>
        <w:rPr>
          <w:b/>
        </w:rPr>
        <w:t>E. 4.2</w:t>
      </w:r>
    </w:p>
    <w:p>
      <w:r>
        <w:t>Il convient ensuite de déterminer si la menace que le recourant représente pour la sécurité et l'ordre publics en Suisse doit être qualifiée de grave et si elle est ainsi susceptible de justifier le prononcé d'une mesure d'éloignement allant au-delà de la durée maximale de cinq ans prévue à l'art. 67 al. 3 phr. 1 LEI.</w:t>
      </w:r>
    </w:p>
    <w:p>
      <w:r>
        <w:rPr>
          <w:b/>
        </w:rPr>
        <w:t>E. 4.2.1</w:t>
      </w:r>
    </w:p>
    <w:p>
      <w:r>
        <w:t>Ainsi que le Tribunal fédéral l'a retenu (ATF 139 II 121 consid. 6.3), la « menace grave » pour la sécurité et l'ordre publics susceptible de justifier le prononcé d'une interdiction d'entrée pour une durée supérieure à cinq ans doit nécessairement atteindre un degré de gravité supérieur à une simple « mise en danger » ou « atteinte » au sens de l'art. 67 al. 2 let. a LEI (palier I) ou à la « menace d'une certaine gravité » (palier I bis), telle que définie par la jurisprudence relative à l'art. 5 Annexe I de l'Accord du 21 juin 1999 entre la Confédération suisse, d'une part, et la Communauté européenne et ses Etats membres, d'autre part, sur la libre circulation des personnes (ALCP, RS 0.142.112.681), constituant ainsi un palier supplémentaire dans la gradation (palier II). Etant donné que l'art. 67 al. 3 phr. 2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(ATF 139 II 121 consid. 6.2 in fine). L'art. 67 al. 3 phr. 2 LEI présuppose donc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(ATF 139 II 121 consid. 6.3). Les infractions commises doivent donc avoir le potentiel - isolément ou en raison de leur répétition - de générer une menace actuelle et grave pour la sécurité et l'ordre publics (ATAF 2016/33 consid. 8.2, 2014/20 consid. 5.2).</w:t>
      </w:r>
    </w:p>
    <w:p>
      <w:r>
        <w:rPr>
          <w:b/>
        </w:rPr>
        <w:t>E. 4.2.2</w:t>
      </w:r>
    </w:p>
    <w:p>
      <w:r>
        <w:t>Dans le cas particulier, le Tribunal ne saurait poser un pronostic favorable quant au comportement futur de l'intéressé et le risque de réitération d'actes délictueux de sa part ne saurait être sous-estimé. Il ressort en effet que, lors de sa venue en Suisse en 2011, le recourant n'a pas hésité à déposer une demande d'asile sous une fausse identité, puis à se soustraire au contrôle des autorités dans les suites de l'ouverture des démarches en vue de l'exécution de son renvoi. Depuis lors, à l'exception des périodes de détention et de sa brève réadmission en France, l'intéressé a séjourné en Suisse dans l'illégalité et souvent dans la clandestinité. Moins d'une année après sa disparition, est intervenue la première d'une longue série de condamnations pénales en lien avec la consommation et le trafic de stupéfiants. Malgré les précédentes condamnations, la grossesse qui allait voir naître sa première fille au mois de mars 2015 n'a aucunement retenu le recourant dans son activité délictuelle, bien au contraire. C'est en effet en septembre 2015 que l'intéressé a connu sa plus lourde condamnation unique. A cette occasion, les autorités pénales ont retenu que le trafic auquel s'était adonné l'intéressé avait duré de début 2013 jusqu'au 29 janvier 2015, date de son arrestation. Vu les quantités en question (40 grammes de cocaïne pure et 1'455 grammes de marijuana) et la fréquence des transactions, il ne s'agissait donc nullement d'un égarement occasionnel. En outre, une fois sa peine purgée et son renvoi exécuté, le recourant est rentré derechef illégalement en Suisse et a poursuivi son activité délictueuse, connaissant quatre nouvelles condamnations, toutes liées à la consommation et au trafic de stupéfiants. Le Tribunal constate ainsi que les condamnations subies précédemment à l'exécution de la longue peine infligée en 2015, ni même celle-ci, ne l'ont pas dissuadé de commettre de nouvelles infractions. En fin de compte, il apparaît que seules les arrestations et incarcérations sont à même d'empêcher l'activité délictuelle du recourant pour qui cela semble être devenu un mode de vie. En outre, la gravité de certains des délits commis par le recourant ne saurait être minimisée ; ceux-ci constituent des infractions contre des biens juridiques importants, telle que la santé publique notamment.</w:t>
      </w:r>
    </w:p>
    <w:p>
      <w:r>
        <w:rPr>
          <w:b/>
        </w:rPr>
        <w:t>E. 4.2.3</w:t>
      </w:r>
    </w:p>
    <w:p>
      <w:r>
        <w:t>Au vu de l'activité délictuelle de l'intéressé et du caractère récidivant de certaines infractions commises durant sa présence en Suisse, le Tribunal arrive à la conclusion que les conditions émises à l'art. 67 al. 3 phr. 2 LEI sont en l'espèce réunies et justifient l'éloignement de A._______, délinquant récidiviste, pour une durée supérieure à cinq ans à compter de la date du prononcé de la décision querellée. Ce pronostic est encore renforcé par le fait que le recourant a refusé, durant de longues années, de donner suite à la décision de renvoi émise à son endroit lors de la procédure d'asile ou encore celle prononcée par le SPOP-VD en 2017 et confirmée par le Tribunal cantonal. Ce comportement dénote l'incapacité du prénommé à se conformer aux règles et aux décisions prises à son encontre et a pour conséquence de conforter l'autorité de céans dans son appréciation du risque pour la sécurité et l'ordre publics en Suisse.</w:t>
      </w:r>
    </w:p>
    <w:p>
      <w:r>
        <w:rPr>
          <w:b/>
        </w:rPr>
        <w:t>E. 5</w:t>
      </w:r>
    </w:p>
    <w:p>
      <w:r>
        <w:t>Il reste dès lors à examiner si le prononcé d'une interdiction d'entrée d'une durée de dix ans satisfait, en particulier, au principe de la proportionnalité. A ce propos, le recourant s'est prévalu, dans son recours, de la protection accordée par l'art. 8 de la Convention du 4 novembre 1950 de sauvegarde des droits de l'homme et des libertés fondamentales (CEDH, RS 0.101), en soutenant que la décision attaquée l'empêcherait d'entretenir des relations personnelles avec sa compagne et leurs enfants communs.</w:t>
      </w:r>
    </w:p>
    <w:p>
      <w:r>
        <w:rPr>
          <w:b/>
        </w:rPr>
        <w:t>E. 5.1</w:t>
      </w:r>
    </w:p>
    <w:p>
      <w:r>
        <w:t>Toute mesure d'éloignement doit respecter le principe de la proportionnalité, qui s'impose tant en droit interne (art. 5 al. 2 et 36 al. 3 de la Constitution fédérale de la Confédération suisse du 18 avril 1999 [Cst., RS 101] et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(proportionnalité au sens étroit [ATF 136 IV 97 consid. 5.2.2, 135 I 176 consid. 8.1 et 133 I 110 consid. 7.1 ; ATAF 2011/60 consid. 5.3.1]). Conformément aux dispositions précitées, il faut que la pesée des intérêts public et privé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LEI (arrêts du TF 2C_53/2015 du 31 mars 2015 consid. 5.3 et 2C_139/2014 du 4 juillet 2014 consid. 5).</w:t>
      </w:r>
    </w:p>
    <w:p>
      <w:r>
        <w:rPr>
          <w:b/>
        </w:rPr>
        <w:t>E. 5.2</w:t>
      </w:r>
    </w:p>
    <w:p>
      <w:r>
        <w:t>En l'occurrence, concernant les règles de l'aptitude et de la nécessité, il est indéniable, en l'absence d'un pronostic actuellement favorable, que l'éloignement du territoire suisse du recourant pendant 10 ans est apte et nécessaire pour atteindre les buts visés, à savoir protéger l'ordre et la sécurité publics (arrêt du TAF F-2343/2016 du 26 mars 2018 consid. 6.3).</w:t>
      </w:r>
    </w:p>
    <w:p>
      <w:r>
        <w:rPr>
          <w:b/>
        </w:rPr>
        <w:t>E. 5.3</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 Selon la jurisprudence, un étranger peut, selon les circonstances, se prévaloir du droit au respect de sa vie privée et familiale au sens de l'art. 8 par. 1 CEDH (dont la portée est identique à celle de l'art. 13 al. 1 Cst.) pour s'opposer à l'éventuelle séparation d'avec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En dehors de ce cadre étroit, un étranger majeur ne peut se prévaloir de cette disposition que s'il se trouve dans un état de dépendance particulier par rapport à des membres de sa famille résidant en Suisse en raison, par exemple, d'un handicap ou d'une maladie grave (ATF 137 I 154 consid. 3.4 ; arrêt du TF 2C_537/2015 du 19 juin 2015 consid. 3.1.1). L'art 14 Cst. (équivalant en partie à l'art. 12 CEDH), qui consacre le droit au mariage et à la famille, se recoupe largement avec l'art. 13 Cst. et ne présente, dans ce contexte, pas de portée propre. Partant, il suffit, in casu, d'examiner les prétentions du recourant sous l'angle de l'art. 8 CEDH.</w:t>
      </w:r>
    </w:p>
    <w:p>
      <w:r>
        <w:rPr>
          <w:b/>
        </w:rPr>
        <w:t>E. 5.3.1</w:t>
      </w:r>
    </w:p>
    <w:p>
      <w:r>
        <w:t>Concernant l'intérêt privé du recourant à pouvoir revenir librement en Suisse, il convient préalablement de relever que l'impossibilité pour lui de résider durablement sur le territoire helvétique ne résulte pas de la mesure d'éloignement litigieuse, mais découle du fait qu'il n'est pas, et n'a jamais été, titulaire d'un titre de séjour dans ce pays (arrêt du TAF F-2094/2017 du 2 juillet 2019 consid. 8.1.4). En effet, par arrêt du 23 mai 2017, le Tribunal cantonal vaudois a rejeté le recours de l'intéressé contre la décision du SPOP-VD du 2 février 2017 lui refusant l'octroi d'une autorisation de séjour en vue du mariage. Cet arrêt a été confirmé par le Tribunal fédéral en date du 18 juillet 2017. L'examen de la présente cause à l'aune des art. 8 CEDH et 13 et 14 Cst. consistera donc avant tout à déterminer si l'interdiction d'entrée querellée complique de manière disproportionnée le maintien de ses relations familiales. L'art. 8 CEDH - qui vise avant tout les relations qui existent entre époux ou entre parents et enfants mineurs vivant en ménage commun (ATF 144 I 266 consid. 3.3, 144 II 1 consid. 6.1) - s'applique, à certaines conditions, même si ces enfants ne sont pas placés sous l'autorité parentale ou la garde du parent concerné. Dans cette hypothèse, le Tribunal fédéral a toutefois considéré, sous l'angle du droit au respect de la vie privée et familiale garanti par l'art. 8 par. 1 CEDH (ainsi que l'art. 13 Cst.),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5.2, 140 I 145 consid. 3.2). Or, comme on l'a vu, le recourant ne peut en aucun cas se prévaloir d'un comportement irréprochable. Il ne ressort pas non plus des pièces au dossier - et le recourant ne l'allègue d'ailleurs pas - qu'il participerait financièrement à l'entretien de ses deux enfants d'une quelconque manière, ni à tout le moins, en subvenant régulièrement à leurs besoins dans la mesure de ses possibilités financières (ATF 144 I 91 consid. 5.2.2). Compte tenu des périodes que le recourant a passées en détention, au vu de l'âge de ses enfants et considérant qu'il ne les a vus, au cours de l'exécution de sa peine, qu'une fois par semaine, et cela dans le cadre de visites carcérales, le recourant ne peut non plus se prévaloir d'avoir créé un lien affectif fort issu d'une vie commune avec ses deux enfants. Dans ces circonstances, le Tribunal ne saurait ainsi considérer que la présence de ce dernier en Suisse auprès de ses enfants soit indispensable à leur bon développement. Enfin, il ne faut pas perdre de vue que tant les premières condamnations de l'intéressé sont antérieures au projet de mariage avec B._______, si bien que la compagne du recourant devait, dans une certaine mesure, s'attendre à ce que ces éléments aient une influence sur leur vie de couple à venir. Il faut encore à cet égard relever que l'interdiction d'entrée prononcée contre l'intéressé ne rend pas impossible le maintien des relations familiales entre le recourant et B._______ ou leurs enfants communs. En particulier, rien ne s'oppose à ce que ceux-ci le rejoignent durant de courtes périodes au Burkina-Faso. Par ailleurs, des contacts par le biais du téléphone ou de moyens de communication tels que Skype, Zoom ou FaceTime restent possibles. Finalement, il est toujours loisible au recourant de requérir auprès du SEM une suspension provisoire de la mesure d'éloignement (sauf-conduit) afin de rendre visite à ses proches en Suisse pour une durée déterminée (art. 67 al. 5 LEI ; arrêts du TAF F-6746/2017 du 3 septembre 2019 consid. 6.7 et F-7022/2016 du 7 juin 2017 consid. 7.5). Cette solution est en outre conforme aux art. 3 et 9 de la Convention du 20 novembre 1989 relative aux droits de l'enfant (CDE, RS 0.107). S'agissant encore d'autres circonstances qui pourraient éventuellement plaider en faveur du recourant, telles la durée de son séjour et la qualité de son intégration (sociale et professionnelle) en Suisse, il faut tout d'abord relever que la majeure partie de son séjour a été soit illégal, soit découlait d'une détention. Les dix années qu'il a passées en Suisse ne peuvent donc être prises en considération que de manière très restreinte. En outre, l'intégration du recourant doit être qualifiée de très mauvaise au vu des nombreuses condamnations pénales dont il a fait l'objet, ainsi que du mode de vie délictuel qu'il semble avoir embrassé. Finalement, outre ses enfants et leur mère, le recourant n'a fait valoir aucune attache particulière en Suisse.</w:t>
      </w:r>
    </w:p>
    <w:p>
      <w:r>
        <w:rPr>
          <w:b/>
        </w:rPr>
        <w:t>E. 5.3.2</w:t>
      </w:r>
    </w:p>
    <w:p>
      <w:r>
        <w:t>A propos de l'intérêt public, il convient de rappeler qu'en cas d'infractions graves portant atteinte à des biens juridiques importants (telles la vie, l'intégrité corporelle et la santé publique), les autorités suisses se montrent particulièrement rigoureuses (cf. supra consid. 4.2.1). Aussi, dans de telles circonstances, un risque de récidive, même relativement faible, ne saurait en principe être toléré (ATF 139 I 31 consid. 2.3.2, 139 I 16 consid. 2.2.1). En l'espèce, le risque de récidive s'avère au contraire élevé. Au vu de l'importante gravité des infractions commises par A._______, qui s'est notamment livré à un trafic de stupéfiants durant plusieurs années mettant ainsi en danger la santé de nombreuses personnes, et de son incapacité à s'amender, démontrant sa persistance à ne pas vouloir ou pouvoir se conformer à l'ordre juridique suisse, il existe donc in casu un intérêt public majeur à ce que les entrées de l'intéressé en Suisse soient contrôlées pendant un nombre d'années important. Au vu du comportement clairement répréhensible du recourant tel que souligné ci-dessus, et après une pondération des intérêts publics et privés en présence et au regard de l'ensemble des circonstances, en particulier du nombre et de la gravité, en partie croissante, des infractions commises par le recourant durant son séjour illégal en Suisse, de la répétition incessante de son activité délictuelle, de l'importance du risque de récidive que laisse redouter son passé judiciaire et de la présence de ses enfants et de leur mère en Suisse, le Tribunal estime qu'une durée de dix ans n'est pas excessive. Cette durée s'inscrit par ailleurs dans la lignée de décisions dans des cas similaires et est donc conforme au principe de l'égalité de traitement.</w:t>
      </w:r>
    </w:p>
    <w:p>
      <w:r>
        <w:rPr>
          <w:b/>
        </w:rPr>
        <w:t>E. 6</w:t>
      </w:r>
    </w:p>
    <w:p>
      <w:r>
        <w:t>Le SEM a par ailleurs ordonné l'inscription de l'interdiction d'entrée dans le SIS II. En raison de ce signalement, il est, en principe, interdit au recourant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 1987/2006 du Parlement européen et du Conseil du 20 décembre 2006 sur l'établissement, le fonctionnement et l'utilisation du système d'information Schengen de deuxième génération [règlement SIS II, JO L 381/4 du 28 décembre 2006], en vigueur depuis le 9 avril 2013 [JO L 87/10 du 27 mars 2013]), cette personne est inscrite aux fins de non-admission dans le SIS II si le cas est suffisamment important pour justifier l'introduction du signalement dans ce système (art. 21 et 24 règlement SIS II, qui ont remplacé les anciens art. 94 par. 1 et 96 de la Convention d'application de l'accord de Schengen [CAAS, JO L 239 du 22 septembre 2000], ainsi qu'il ressort de l'art. 52 par. 1 règlement SIS II). Le signalement au SIS II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règlement SIS II).</w:t>
      </w:r>
    </w:p>
    <w:p>
      <w:r>
        <w:rPr>
          <w:b/>
        </w:rPr>
        <w:t>E. 6.2</w:t>
      </w:r>
    </w:p>
    <w:p>
      <w:r>
        <w:t>En l'espèce, le signalement inscrit au SIS II est justifié par les faits retenus et satisfait au principe de la proportionnalité, au vu des circonstances (art. 21 en relation avec l'art. 24 par. 2 du règlement SIS II). Il l'est d'autant plus que la Suisse, dans le champ d'application des règles de Schengen, se doit de préserver les intérêts de tous les Etats parties aux accords d'association à Schengen (ATAF 2011/48 consid. 6.1).</w:t>
      </w:r>
    </w:p>
    <w:p>
      <w:r>
        <w:rPr>
          <w:b/>
        </w:rPr>
        <w:t>E. 6.3</w:t>
      </w:r>
    </w:p>
    <w:p>
      <w:r>
        <w:t>Dans ses différentes écritures, le recourant se prévaut toutefois d'un titre de séjour que lui auraient octroyé les autorités italiennes. Les seuls documents qu'il ait avancés à l'appui de cette allégation sont la copie d'une « carta d'identità » italienne portant la mention « non valida per l'espatrio » ainsi que la copie d'une attestation de la Préfecture de police de Naples faisant état d'une demande d'asile déposée le 29 septembre 2017.</w:t>
      </w:r>
    </w:p>
    <w:p>
      <w:r>
        <w:rPr>
          <w:b/>
        </w:rPr>
        <w:t>E. 6.3.1</w:t>
      </w:r>
    </w:p>
    <w:p>
      <w:r>
        <w:t>En principe, les ressortissants burkinabés sont soumis à l'obligation de visa tant pour un séjour touristique inférieur à 90 jours que pour un séjour d'une durée supérieure (Annexe I du règlement [CE] n° 539/2001 du Conseil du 15 mars 2001, remplacé par le Règlement [UE] 2018/1806 du Parlement européen et du Conseil du 14 novembre 2018 [JO L 303 du 28 novembre 2018, p. 39-58], et qui ne se différencie pas de sa version antérieure sur ce point ; voir aussi le site internet du SEM : www.sem.admin.ch Publications &amp; services Directives et circulaires Directives Visas VII. Visas Séjour jusqu'à 90 jours Annexe 1, liste 1 : Prescriptions documents de voyage et de visas selon nationalité Burkina Faso ; version du 27 juillet 2020 ; site internet consulté en février 2021).</w:t>
      </w:r>
    </w:p>
    <w:p>
      <w:r>
        <w:rPr>
          <w:b/>
        </w:rPr>
        <w:t>E. 6.3.2</w:t>
      </w:r>
    </w:p>
    <w:p>
      <w:r>
        <w:t>Si le recourant s'est apparemment vu délivrer une carte d'identité italienne dont il a produit une copie dans le cadre de recours, celle-ci n'est pas un titre de séjour, n'a de validité que pour le territoire italien et ne le libère aucunement de l'obligation de requérir la délivrance d'un visa pour un séjour en Suisse de courte durée sans activité lucrative, voire dans un autre Etat de l'Espace Schengen (Annexe 22 de la décision d'exécution de la Commission modifiant la décision de la Commission C(2010) 1620 établissant le Manuel relatif au traitement des demandes de visa et à la modification des visas délivrés [C(2019) 3464 final], ad Italie, p. 11, accessible sur le site du SEM : www.sem.admin.ch Publication &amp; services Directives et circulaires VII. Visas Séjour jusqu'à 90 jours [réglementation Schengen], consulté en février 2021). L'existence de ce simple document d'identification, qui porte par ailleurs la mention « non valida per l'espatrio » n'est donc aucunement de nature à justifier la suppression de l'inscription au SIS II. Il en va de même de l'attestation établie le 29 septembre 2017 par la Préfecture de police de Naples qui mentionne qu'elle constitue uniquement un permis de séjour provisoire, ce qui n'est aucunement de nature à libérer de l'obligation de requérir la délivrance d'un visa pour un séjour en Suisse de courte durée sans activité lucrative ou dans un autre Etat de l'Espace Schengen.</w:t>
      </w:r>
    </w:p>
    <w:p>
      <w:r>
        <w:rPr>
          <w:b/>
        </w:rPr>
        <w:t>E. 6.3.3</w:t>
      </w:r>
    </w:p>
    <w:p>
      <w:r>
        <w:t>Il convient de rappeler dans ce cadre que seul l'Etat membre signalant est autorisé à modifier, compléter, rectifier, mettre à jour ou effacer les données qu'il a introduites dans le SIS II (art. 34 al. 2 et 3 règlement SIS II) et que dans le contexte de l'art. 25 par. 1 CAAS, il n'est tenu de le faire que si un autre Etat membre, qui l'a préalablement consulté, octroie un titre de séjour à la personne signalée à des fins de non admission. A l'inverse, en application de l'art. 25 par. 2 CAAS, si un État contractant adopte une décision d'interdiction d'entrée à l'encontre d'un ressortissant de pays tiers titulaire d'un titre de séjour en cours de validité délivré par un autre État contractant, il lui appartient d'engager, au plus tard au moment de la décision, la procédure de consultation afin que l'Etat contractant qui a délivré le titre de séjour détermine s'il y a lieu de le retirer, auquel cas l'inscription peut être maintenue et, cas contraire, elle doit être obligatoirement radiée (arrêt de la Cour de justice de l'Union européenne [ci-après : CJUE] C-240/17 du 16 janvier 2018 n. 58). En l'espèce, l'intéressé n'est au bénéfice d'aucun titre de séjour au sens de l'art. 25 par. 1 CAAS (cf. Annexe 22 précité) délivré par les autorités italiennes ou un autre Etat Schengen et rien n'oblige donc les autorités suisses à retirer le signalement du recourant au SIS II.</w:t>
      </w:r>
    </w:p>
    <w:p>
      <w:r>
        <w:rPr>
          <w:b/>
        </w:rPr>
        <w:t>E. 7</w:t>
      </w:r>
    </w:p>
    <w:p>
      <w:r>
        <w:t>Il ressort de ce qui précède que le SEM n'a ni violé le droit fédéral, ni constaté des faits pertinents de manière inexacte ou incomplète en prononçant une interdiction d'entrée en Suisse valable au 8 août 2029 à l'endroit du recourant et en signalant un refus d'entrée y relatif au SIS II. Sa décision n'est en outre pas inopportune (cf. art. 49 PA). Le recours est dès lors rejeté.</w:t>
      </w:r>
    </w:p>
    <w:p>
      <w:r>
        <w:rPr>
          <w:b/>
        </w:rPr>
        <w:t>E. 8</w:t>
      </w:r>
    </w:p>
    <w:p>
      <w:r>
        <w:t>Par décision du 24 octobre 2019, le Tribunal a mis le recourant au bénéfice de l'assistance judicaire et désigné Me Andreia Ribeiro en qualité d'avocate d'office pour la présente procédure, en application de l'art. 65 al. 1 et 2 PA. Aussi, il convient de dispenser le recourant du paiement des frais de procédure et d'allouer une indemnité à titre d'honoraires à sa mandataire pour les frais indispensables occasionnés par la procédure de recours (art. 64 al. 2 à 4, par renvoi de l'art. 65 al. 3 PA, en relation avec les art. 8 à 12 du règlement du 21 février 2008 concernant les frais, dépens et indemnités fixés par le Tribunal administratif fédéral [FITAF, RS 173.320.2] ; art. 64 al. 1 PA). Au demeurant, dans la mesure où l'intéressé succombe, il n'a pas droit à des dépens (art. 64 al. 1 PA a contrario). Au regard de l'ensemble des circonstances, notamment du tarif applicable, de l'importance et du degré de complexité de la cause et du temps nécessaire à la défense des intérêts du recourant, le Tribunal de céans estime justifié d'honorer le travail accompli par l'avocate d'office avec un montant total 2'000 francs, y compris supplément TVA selon l'art. 9 al. 1 let. c FITAF (art. 8 à 11 FITAF). Le recourant a l'obligation de rembourser ce montant s'il revient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