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F-4551/2023 vom 11. März 2024</w:t>
      </w:r>
    </w:p>
    <w:p>
      <w:r>
        <w:t>Bundesverwaltungsgericht, 2024-03-11, FR</w:t>
      </w:r>
    </w:p>
    <w:p>
      <w:r>
        <w:rPr>
          <w:b/>
        </w:rPr>
        <w:t xml:space="preserve">Quelle: </w:t>
      </w:r>
      <w:r>
        <w:t>https://mcp.opencaselaw.ch/entscheid/bvger_F-4551_2023</w:t>
      </w:r>
    </w:p>
    <w:p>
      <w:r>
        <w:t>FR: TAF F-4551/2023 du 11 mars 2024</w:t>
      </w:r>
    </w:p>
    <w:p>
      <w:r>
        <w:t>IT: TAF F-4551/2023 del 11 marzo 2024</w:t>
      </w:r>
    </w:p>
    <w:p>
      <w:pPr>
        <w:pStyle w:val="Heading2"/>
      </w:pPr>
      <w:r>
        <w:t>Regeste</w:t>
      </w:r>
    </w:p>
    <w:p>
      <w:r>
        <w:t>Asile (non-entrée en matière) et renvoi (procédure Dublin - art. 31a al. 1 let. b LAsi)</w:t>
      </w:r>
    </w:p>
    <w:p>
      <w:pPr>
        <w:pStyle w:val="Heading2"/>
      </w:pPr>
      <w:r>
        <w:t>Erwägungen</w:t>
      </w:r>
    </w:p>
    <w:p>
      <w:r>
        <w:rPr>
          <w:b/>
        </w:rPr>
        <w:t>E. 8</w:t>
      </w:r>
    </w:p>
    <w:p>
      <w:r>
        <w:t>Au vu de ce qui précède, il y a lieu de conclure que le SEM n'a pas violé le droit fédéral en refusant d'entrer en matière sur la demande d'asile de la recourante et en prononçant son transfert vers la Croatie. On ne saurait non plus lui reprocher un établissement incomplet et inexact des faits pertinents. Le recours est, partant, rejeté.</w:t>
      </w:r>
    </w:p>
    <w:p>
      <w:r>
        <w:rPr>
          <w:b/>
        </w:rPr>
        <w:t>E. 9</w:t>
      </w:r>
    </w:p>
    <w:p>
      <w:r>
        <w:t>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Cela étant, l'intéressée a été mise au bénéfice de l'assistance judiciaire partielle par décision incidente du 30 août 2023. Il sera, par conséquent, statué sans frais. Il n'est, pour le surplus, pas octroyé de dépens (cf. art. 64 al. 1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