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F-4549/2021 vom 21. Oktober 2021</w:t>
      </w:r>
    </w:p>
    <w:p>
      <w:r>
        <w:t>Bundesverwaltungsgericht, 2021-10-21, DE</w:t>
      </w:r>
    </w:p>
    <w:p>
      <w:r>
        <w:rPr>
          <w:b/>
        </w:rPr>
        <w:t xml:space="preserve">Quelle: </w:t>
      </w:r>
      <w:r>
        <w:t>https://mcp.opencaselaw.ch/entscheid/bvger_F-4549_2021</w:t>
      </w:r>
    </w:p>
    <w:p>
      <w:r>
        <w:t>FR: TAF F-4549/2021 du 21 octobre 2021</w:t>
      </w:r>
    </w:p>
    <w:p>
      <w:r>
        <w:t>IT: TAF F-4549/2021 del 21 ottobre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bzw. einer zweiten Richterin (Art. 111 Bst. e AsylG), ohne Durchführung eines Schriftenwechsels und mit summarischer Begründung zu behandeln ist (Art. 111a Abs. 1 und 2 AsylG).</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Antragstellende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bestätigte, dass dieser am (...) 2020 in Frankreich ein Asylgesuch eingereicht hatte. Das Gesuch wurde am (...) 2021 abgewiesen. Das SEM ersuchte die französischen Behörden am 9. September 2021 um Wiederaufnahme des Beschwerdeführers gestützt auf Art. 23 Dublin-III-VO. Diesem Gesuch wurde am 23. September 2021 entsprochen. Die grundsätzliche Zuständigkeit Frankreichs ist somit gegeben und wird vom Beschwerdeführer nicht bestritten.</w:t>
      </w:r>
    </w:p>
    <w:p>
      <w:r>
        <w:rPr>
          <w:b/>
        </w:rPr>
        <w:t>E. 4.2.1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4.2.2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4.2.3</w:t>
      </w:r>
    </w:p>
    <w:p>
      <w:r>
        <w:t>Das Bundesverwaltungsgericht geht in konstanter Rechtsprechung davon aus, dass in Frankreich keine systemischen Mängel betreffend die Asyl- und Aufnahmesituation vorliegen (vgl. Urteile des BVGer F-2568/2021 vom 8. Juni 2021 E. 6.2; D-1801/2021 vom 22. April 2021 S. 6 f.; D-1741/2021 vom 22. April 2021 S. 8; F-2511/2020 vom 20. Mai 2020 E. 5.2; F-1929/2020 vom 16. April 2020 E. 7.3). Der Beschwerdeführer hat seinerseits kein konkretes und ernsthaftes Risiko dargetan, dass die französischen Behörden in seinem Fall den erwähnten völkerrechtlichen Verpflichtungen nicht nachkommen würden. Insbesondere gibt es keine Hinweise, dass die Behandlung seines Asylgesuchs mangelhaft gewesen sein könnte und Frankreich in seinem Fall den Grundsatz des Non-Refoulement (Art. 33 FK) missachten und ihn zur Ausreise in ein Land zwingen würde, in welchem ihm eine asylrelevante Verfolgung nach Art. 3 Abs. 1 AsylG drohen würde. Gemäss den Akten war es dem Beschwerdeführer auch möglich, den negativen Asylentscheid der französischen Behörden durch eine Rechtsmittelinstanz überprüfen zu lassen. In diesem Zusammenhang ist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w:t>
      </w:r>
    </w:p>
    <w:p>
      <w:r>
        <w:rPr>
          <w:b/>
        </w:rPr>
        <w:t>E. 4.2.4</w:t>
      </w:r>
    </w:p>
    <w:p>
      <w:r>
        <w:t>Unter diesen Umständen ist die Anwendung von Art. 3 Abs. 2 Dublin-III-VO nicht gerechtfertigt.</w:t>
      </w:r>
    </w:p>
    <w:p>
      <w:r>
        <w:rPr>
          <w:b/>
        </w:rPr>
        <w:t>E. 4.3.1</w:t>
      </w:r>
    </w:p>
    <w:p>
      <w:r>
        <w:t>Der Beschwerdeführer bringt vor, er sei in Frankreich durch die georgische Mafia gefährdet und zudem schwerkrank. Damit fordert er sinngemäss einen Selbsteintritt nach Art. 17 Abs. 1 Dublin-III-VO, konkretisiert in Art. 29a Abs. 3 der Asylverordnung 1 vom 11. August 1999 (AsylV 1, SR 142.311). Hierzu ist folgendes festzuhalten: Entscheide anderer Vertragsstaaten werden - gestützt auf das gegenseitige Vertrauen, dass die jeweiligen nationalen Asylrechtsstandards zumindest den Anforderungen der Europäischen Richtlinien in diesem Bereich entsprechen - sowohl mit Blick auf die materielle Beurteilung der Asylgründe als auch mit Blick auf die Zulässigkeit beziehungsweise Zumutbarkeit des Wegweisungsvollzugs in den Herkunfts- oder Heimatstaat anerkannt, ohne dass sie in der Sache hinterfragt würden. Der Beschwerdeführer kann demnach aufgrund einer allenfalls unterschiedlichen Einschätzung im Rahmen des materiellen Asylverfahrens nicht erwirken, dass die Vorinstanz einen Selbsteintritt aus humanitären Gründen prüfen muss (vgl. Urteil des BVGer F-4030/2020 vom 18. August 2020 E. 5.2).</w:t>
      </w:r>
    </w:p>
    <w:p>
      <w:r>
        <w:rPr>
          <w:b/>
        </w:rPr>
        <w:t>E. 4.3.2</w:t>
      </w:r>
    </w:p>
    <w:p>
      <w:r>
        <w:t>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französischen Behörden wenden und die ihm zustehenden Aufnahmebedingungen auf dem Rechtsweg einfordern (vgl. Art. 26 Aufnahmerichtlinie). Frankreich ist ein Rechtsstaat mit funktionierendem Justizsystem. Sodann verfügt das Land über Polizeibehörden, die sowohl schutzwillig als auch als schutzfähig sind und deren Hilfe der Beschwerdeführer im Falle einer Bedrohung durch Dritte in Anspruch nehmen könnte.</w:t>
      </w:r>
    </w:p>
    <w:p>
      <w:r>
        <w:rPr>
          <w:b/>
        </w:rPr>
        <w:t>E. 4.4.1</w:t>
      </w:r>
    </w:p>
    <w:p>
      <w:r>
        <w:t>Der Beschwerdeführer macht implizit geltend, die Überstellung nach Frankreich setze ihn einer Gefahr für seine Gesundheit aus und verletze damit Art. 3 EMRK.</w:t>
      </w:r>
    </w:p>
    <w:p>
      <w:r>
        <w:rPr>
          <w:b/>
        </w:rPr>
        <w:t>E. 4.4.2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4.4.3</w:t>
      </w:r>
    </w:p>
    <w:p>
      <w:r>
        <w:t>Eine solche Situation ist vorliegend nicht gegeben. Der Beschwerdeführer konnte nicht nachweisen, dass er nicht reisefähig ist oder eine Überstellung seine Gesundheit ernsthaft gefährden würde. Sein Gesundheitszustand, den die Vorinstanz in der angefochtenen Verfügung zutreffend und detailliert wiedergibt, ist zwar durch verschiedene Leiden, namentlich kolikartige Flankenschmerzen, rezidivierende Nierensteine links, eine chronische Hepatitis C, eine Depression mit Persönlichkeitsstörung und eine leichtgradige Bronchopneumie, durchaus beeinträchtigt. Damit ist aber eine Unzulässigkeit des Wegweisungsvollzugs im Sinne der dargestellten restriktiven Rechtsprechung nicht zu rechtfertigen. Die gesundheitlichen Probleme sind auch nicht von einer derartigen Schwere, dass aus humanitären Gründen von einer Überstellung abgesehen werden müsste. Hinsichtlich der aktenkundigen früheren Suizidalität des Beschwerdeführers gilt es schliesslich festzuhalten, dass gemäss bundesgerichtlicher Rechtsprechung suizidale Tendenzen für sich allein kein Vollzugshindernis darstellen (vgl. Urteil des BGer 2C_221/2020 vom 19. Juni 2020 E. 2), was auch der Praxis des Bundesverwaltungsgerichts entspricht (vgl. etwa Urteile des BVGer E-770/2021 vom 29. April 2021 E. 10.1; F-21/2021 vom 25. Februar 2021 E. 9.2).</w:t>
      </w:r>
    </w:p>
    <w:p>
      <w:r>
        <w:rPr>
          <w:b/>
        </w:rPr>
        <w:t>E. 4.4.4</w:t>
      </w:r>
    </w:p>
    <w:p>
      <w:r>
        <w:t>Weiter ist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w:t>
      </w:r>
    </w:p>
    <w:p>
      <w:r>
        <w:rPr>
          <w:b/>
        </w:rPr>
        <w:t>E. 4.5</w:t>
      </w:r>
    </w:p>
    <w:p>
      <w:r>
        <w:t>Im Ergebnis besteht kein Grund für eine Anwendung der Ermessensklauseln von Art. 17 Dublin-III-VO. Eine gesetzeswidrige Ermessensausübung durch die Vorinstanz ist nicht ersichtlich.</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6</w:t>
      </w:r>
    </w:p>
    <w:p>
      <w:r>
        <w:t>Nach dem Ausgeführten ist die Beschwerde abzuweisen und die Verfügung des SEM zu bestätigen.</w:t>
      </w:r>
    </w:p>
    <w:p>
      <w:r>
        <w:rPr>
          <w:b/>
        </w:rPr>
        <w:t>E. 7</w:t>
      </w:r>
    </w:p>
    <w:p>
      <w:r>
        <w:t>Mit dem vorliegenden Urteil fällt der am 18. Oktober 2021 angeordnete Vollzugsstopp dahin. Das Gesuch um Erteilung der aufschiebenden Wirkung ist gegenstandslos geworden.</w:t>
      </w:r>
    </w:p>
    <w:p>
      <w:r>
        <w:rPr>
          <w:b/>
        </w:rPr>
        <w:t>E. 8</w:t>
      </w:r>
    </w:p>
    <w:p>
      <w:r>
        <w:t>Das mit der Beschwerde gestellte Gesuch um Gewährung der unentgeltlichen Rechtspflege und Verzicht auf die Erhebung eines Kostenvorschusses ist abzuweisen, da die Begehren - wie sich aus den vorstehenden Erwägungen ergibt - als aussichtslos zu bezeichnen sind. Die Voraussetzungen von Art. 65 Abs. 1 VwVG sind nicht erfüllt. Die Verfahrenskosten sind daher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