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F-4542/2022 vom 11. November 2022</w:t>
      </w:r>
    </w:p>
    <w:p>
      <w:r>
        <w:t>Bundesverwaltungsgericht, 2022-11-11, DE</w:t>
      </w:r>
    </w:p>
    <w:p>
      <w:r>
        <w:rPr>
          <w:b/>
        </w:rPr>
        <w:t xml:space="preserve">Quelle: </w:t>
      </w:r>
      <w:r>
        <w:t>https://mcp.opencaselaw.ch/entscheid/bvger_F-4542_2022</w:t>
      </w:r>
    </w:p>
    <w:p>
      <w:r>
        <w:t>FR: TAF F-4542/2022 du 11 novembre 2022</w:t>
      </w:r>
    </w:p>
    <w:p>
      <w:r>
        <w:t>IT: TAF F-4542/2022 del 11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1 und 2 sind für sich und ihre Kinder zur Beschwerdeanhebung legitimiert (Art. 48 Abs. 1 VwVG). Auf die frist- und formgerecht eingereichte Beschwerde ist einzutreten (Art. 108 Abs. 3 AsylG und Art. 52 Abs. 1 VwVG).</w:t>
      </w:r>
    </w:p>
    <w:p>
      <w:r>
        <w:rPr>
          <w:b/>
        </w:rPr>
        <w:t>E. 2</w:t>
      </w:r>
    </w:p>
    <w:p>
      <w:r>
        <w:t>Gestützt auf Art. 111a Abs. 1 AsylG wurde auf einen Schriftenwechsel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formeller Hinsicht rügen die Beschwerdeführenden zunächst eine Verletzung ihres Anspruchs auf rechtliches Gehör, welche sie darin erblicken, dass die Vorinstanz ihnen keine Einsicht in die - in der angefochtenen Verfügung erwähnten - Abklärungen der Schweizer Botschaft in Kroatien gewährt habe. Diese Rüge erweist sich als unbegründet. Nach der Rechtsprechung des Bundesverwaltungsgerichts genügt es, wenn die Vorinstanz hinsichtlich bereits früher getätigter Abklärungen der Schweizer Vertretung in ihrer Verfügung auf entsprechende Erkenntnisse verweist beziehungsweise diese in zusammengefasster Form wiedergibt (vgl. die angefochtene Verfügung S. 5). Da im vorliegenden Verfahren keine Botschaftsabklärung durchgeführt wurde, sind in den vorinstanzlichen Akten auch keine entsprechenden Aktenstücke vorhanden, in welche Einsicht hätte gewährt werden müssen. Damit liegt keine Verletzung des Akteneinsichtsrechts vor (vgl. Urteile des BVGer E-4665/2022 vom 19. Oktober 2022 E. 4, D-4160/2022 vom 28. September 2022 E. 4.3; D-735/2022 vom 28. Februar 2022 E. 5.3.1).</w:t>
      </w:r>
    </w:p>
    <w:p>
      <w:r>
        <w:rPr>
          <w:b/>
        </w:rPr>
        <w:t>E. 4.2</w:t>
      </w:r>
    </w:p>
    <w:p>
      <w:r>
        <w:t>Weiter bringen die Beschwerdeführenden vor, zum Zeitpunkt des Entscheids sei der medizinische Sachverhalt seitens der Vorinstanz nicht ausreichend abgeklärt worden. Es fehlten fachärztliche Abklärungen in Bezug auf die psychischen Beschwerden der Beschwerdeführenden sowie dazu, ob die schwangere Beschwerdeführerin 2 überhaupt transportfähig sei. Ausserdem habe die Vorinstanz anstehende Arzttermine nicht abgewartet. Die Vorinstanz habe sodann ihre Begründungspflicht verletzt, indem sie es unterlassen habe, sich mit den medizinischem Umständen des konkreten Falls auseinanderzusetzen und stattdessen zu einem pauschalen Fazit gelangt sei.</w:t>
      </w:r>
    </w:p>
    <w:p>
      <w:r>
        <w:rPr>
          <w:b/>
        </w:rPr>
        <w:t>E. 4.3</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4.4</w:t>
      </w:r>
    </w:p>
    <w:p>
      <w:r>
        <w:t>Angesichts der in den Akten liegenden Arztberichte zu allen vier Beschwerdeführenden ist der rechtserhebliche medizinische Sachverhalt als genügend erstellt zu erachten. Hinsichtlich der Abklärung der gesundheitlichen Situation der schwangeren Beschwerdeführerin 2 liegen mehrere Berichte über Kontrolltermine vor, welche stets unauffällig ausfielen (vgl. dazu unten E. 7.5). Die Reisefähigkeit wird, wie die Vorinstanz in der angefochtenen Verfügung zutreffend ausführt, erst kurz vor der Überstellung definitiv beurteilt, wobei alle in diesem Zeitpunkt vorliegenden Informationen berücksichtigt sowie gegebenenfalls weitere ärztliche Beurteilungen zur Transportfähigkeit eingeholt werden (vgl. die angefochtene Verfügung S. 9). Die Vorinstanz konnte deshalb darauf verzichten, einen weiteren Arzttermin der Beschwerdeführerin 2 vom 12. Oktober 2022 abzuwarten, und es bestand auch kein Anlass, die für die Beschwerdeführenden 1 und 3 vereinbarten Arzttermine abzuwarten (vgl. zum Ganzen unten E. 7.5). Die umfangreichen Ausführungen der Vorinstanz zum medizinischen Sachverhalt der Beschwerdeführenden (vgl. die angefochtene Verfügung S. 6 ff.) zeigen schliesslich auf, dass sie sich genügend mit dem konkreten Einzelfall auseinandergesetzt hat. Eine Verletzung der Begründungspflicht liegt nicht vor.</w:t>
      </w:r>
    </w:p>
    <w:p>
      <w:r>
        <w:rPr>
          <w:b/>
        </w:rPr>
        <w:t>E. 4.5</w:t>
      </w:r>
    </w:p>
    <w:p>
      <w:r>
        <w:t>Nach dem Gesagten erweisen sich die verfahrensrechtlichen Rügen der Beschwerdeführenden als unbegründet. Der Eventualantrag auf Rückweisung der Sache an die Vorinstanz zur Neubeurteilung ist folglich abzuweisen.</w:t>
      </w:r>
    </w:p>
    <w:p>
      <w:r>
        <w:rPr>
          <w:b/>
        </w:rPr>
        <w:t>E. 5.1</w:t>
      </w:r>
    </w:p>
    <w:p>
      <w:r>
        <w:t>Auf ein Asylgesuch wird in der Regel nicht eingetreten, wenn der/die Asylsuchende in einen Drittstaat ausreisen kann,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5.4</w:t>
      </w:r>
    </w:p>
    <w:p>
      <w:r>
        <w:t>Vorliegend ergab ein Abgleich der Fingerabdrücke der Beschwerdeführenden 1 und 2, dass sie am 27. Juli 2022 in Kroatien aufgegriffen und daktyloskopisch erfasst worden waren. Gleichentags hatten sie gemäss Auszug aus der «Eurodac»-Datenbank Asylgesuche gestellt (vgl. Sachverhalt A). Die kroatischen Behörden stimmten dem Wiederaufnahmeersuchen der Vorinstanz gestützt auf Art. 20 Abs. 5 Dublin-III-VO zu und wiesen gleichzeitig daraufhin, dass das Verfahren der Beschwerdeführenden noch im Gange sei. Die Zuständigkeit Kroatiens ist somit grundsätzlich gegeben, was von den Beschwerdeführenden auch nicht bestritten wird.</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F-3957/2022 vom 11. Oktober 2022 E. 5; F-4002/2022 vom 26. September 2022 E. 7.2; F-3903/2022 vom 16. September 2022 E. 4; F-3448/2022 vom 22. August 2022 E. 6.2). Für eine Änderung der Rechtsprechung besteht auch in Würdigung der von den Beschwerdeführenden gemachten Äusserungen zu ihrer Behandlung in Kroatien keine Veranlassung. Folglich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Die Beschwerdeführenden bringen vor, es sei zunächst unklar, wo vulnerable Personengruppen in Kroatien untergebracht werden könnten. Von der Rechtsvertretung am 15. September 2022 telefonisch vorgenommene Abklärungen hätten ergeben, dass das einzige Auffangzentrum für vulnerable Personengruppen (mit einer Kapazität von 90 bis 100 Plätzen) aktuell renoviert werde. Ob andere, auf die Bedürfnisse vulnerabler Personen ausgerichtete Unterbringungsmöglichkeiten bestünden, habe nicht gesagt werden können. Die diesbezüglich von der Vorinstanz erwähnten Informationen der Schweizer Botschaft in Kroatien seien somit nicht aktuell und würden keine ausreichende Grundlage für eine Wegweisung von Familien und vulnerablen Personen bieten. Die Vorinstanz berücksichtige auch die zu erwartenden Flüchtlingsströme aus der Ukraine nicht, welche die Unterbringungssituation in Kroatien noch weiter verschärfen dürfte. Nebst dem jungen Alter der beiden Kinder ergebe sich die Vulnerabilität der Familie auch aus der Schwangerschaft der Beschwerdeführerin 2. Ein anlässlich einer Kontrolluntersuchung vom 7. September 2022 festgestellter Fruchtwassermangel stehe möglicherweise mit der in Kroatien erfahrenen Gewalt in Zusammenhang, als der Beschwerdeführerin 2 in den Bauch getreten worden sei. Der sexuelle Übergriff, die fortwährende Angst vor einem neuerlichen Übergriff bei einer Rückkehr nach Kroatien sowie die Angst vor einer Fehlgeburt belasteten die Beschwerdeführerin 2 enorm. Dass auch die übrigen Familienmitglieder aufgrund der Erlebnisse in Kroatien in einer schlechten psychischen Verfassung seien, werde durch die eingereichten Arztberichte aufgezeigt. Bei einer Wegweisung sei mit einer massiven Verschlechterung des Gesundheitszustands aller Familienmitglieder und damit einer Verletzung von Art. 3 EMRK zu rechnen. Auch das Kindeswohl wäre im Falle einer Rückweisung massiv gefährdet.</w:t>
      </w:r>
    </w:p>
    <w:p>
      <w:r>
        <w:rPr>
          <w:b/>
        </w:rPr>
        <w:t>E. 7.3</w:t>
      </w:r>
    </w:p>
    <w:p>
      <w:r>
        <w:t>Die Beschwerdeführenden vermögen nicht darzutun, dass die sie bei einer Rückführung nach Kroatien zu erwartenden Bedingungen derart schlecht sind, dass sie zu einer Verletzung von Art. 3 EMRK führen könnten.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Im Übrigen steht den Beschwerdeführenden die Möglichkeit offen, die vor Ort tätigen karitativen Organisationen zu kontaktieren. Im Zusammenhang mit dem Kindeswohl ist festzuhalten, dass Kroatien Signatarstaat des Übereinkommens vom 20. November 1989 über die Rechte des Kindes (KRK, SR 0.107) ist, weshalb eine Überstellung nach Kroatien weder eine Verletzung von Art. 3 KRK noch Art. 3 EMRK bedeutet.</w:t>
      </w:r>
    </w:p>
    <w:p>
      <w:r>
        <w:rPr>
          <w:b/>
        </w:rPr>
        <w:t>E. 7.4</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7.5</w:t>
      </w:r>
    </w:p>
    <w:p>
      <w:r>
        <w:t>Das Bundesverwaltungsgericht verkennt nicht, dass sich insbesondere die schwangere Beschwerdeführerin 2 in einer schwierigen Lage befindet. Es liegen in casu allerdings keine konkreten Anhaltspunkte dafür vor, dass ihre Gesundheit oder die des ungeborenen Kindes bei einer Überstellung nach Kroatien ernsthaft gefährdet würde. Aktengemäss wurden bei ihr regelmässige Schwangerschaftskontrollen durchgeführt, welche abgesehen von einer leicht verminderten Fruchtwassermenge und einer vaginalen Infektion stets unauffällig ausfielen (Arztbericht des Spitals X._______ vom 22. August 2022 [SEM-act. 41], Ärztliches Zeugnis des Spitals X._______ vom 7. September 2022 [SEM-act. 37], Bericht Ultraschalldiagnostik des Spitals X._______ vom 7. September 2022 und 21. September 2022 [SEM-act. 47 und 49]). Auch die von den anderen Beschwerdeführenden geltend gemachten Beschwerden stellen keine gravierenden Erkrankungen dar und können in Kroatien (weiter) behandelt werden. Dies gilt sowohl hinsichtlich der physischen Befunde der Kinder und des Vaters (Obstipation, diskrete Vulvovaginitis, Verdacht auf Oxyuren sowie Karies bei der Beschwerdeführerin 3, Scabies und Chronische Rhinitis beim Beschwerdeführer 4 [Arztberichte vom 21. September 2022, SEM-act. 50 und 51], leichte normochrome normozytäre Anämie sowie Verdacht auf arterielle Hypertonie beim Beschwerdeführer 1 [Arztbericht Medbase vom 18. Oktober 2022, BVGer-act. 3]), als auch für eine allfällige psychiatrische Behandlung der Beschwerdeführenden. Kroatien verfügt grundsätzlich über eine ausreichende medizinische Infrastruktur (Urteil des BVGer D-735/2022 vom 28. Februar 2022 E. 6.7.3). Sodann bestehen nebst den staatlichen Einrichtungen auch Angebote von Nichtregierungsorganisationen für die psychische Betreuung, womit von einem genügenden psychologischen Behandlungsangebot auszugehen ist (vgl. Urteil des BVGer F-4368/2020 vom 14. Januar 2021 E. 7.3 m.H.). Vor diesem Hintergrund war die Vorinstanz auch nicht verpflichtet, individuelle Zusicherungen bezüglich des Zugangs zu adäquater medizinischer Versorgung einzuholen. Die Vorbringen der Beschwerdeführenden, wonach das spezielle Auffangzentrum für vulnerable Personen in Kroatien aktuell renoviert werde, vermag daran auch nichts zu ändern, zumal es sich dabei allenfalls um ein zeitlich begrenztes Vollzugshindernis handelt. Ausserdem werden die schweizerischen Behörden, die mit dem Vollzug der angefochtenen Verfügung beauftragt sind, dem aktuellen Gesundheitszustand der Beschwerdeführenden bei der Organisation der Überstellung nach Kroatien Rechnung tragen, indem sie die dortigen Behörden im Sinne von Art. 31 und Art. 32 Dublin-III-VO vorgängig über den aktuellen Gesundheitszustand und die allenfalls notwendige medizinische Behandlung der Beschwerdeführenden informieren werden.</w:t>
      </w:r>
    </w:p>
    <w:p>
      <w:r>
        <w:rPr>
          <w:b/>
        </w:rPr>
        <w:t>E. 7.6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Es liegen weder völkerrechtliche Vollzugshindernisse vor, die die Schweiz zum Selbsteintritt verpflichten würden, noch Rechtsfehler bei der Ermessensbetätigung. Die Vorinstanz hat somit das Selbsteintrittsrecht von Art. 17 Dublin-III-VO sowie Art. 29a Abs. 3 AsylV 1 zu Recht nicht ausgeübt.</w:t>
      </w:r>
    </w:p>
    <w:p>
      <w:r>
        <w:rPr>
          <w:b/>
        </w:rPr>
        <w:t>E. 8</w:t>
      </w:r>
    </w:p>
    <w:p>
      <w:r>
        <w:t>Die Vorinstanz ist demnach zu Recht gestützt auf Art. 31a Abs. 1 Bst. b AsylG auf die Asylgesuche nicht eingetreten und hat die Wegweisung nach Kroatien angeordnet. Nach dem Gesagten ist die Beschwerde abzuweisen. Mit dem vorliegenden Urteil fällt die am 24. Oktober 2022 erteilte aufschiebende Wirkung dahin.</w:t>
      </w:r>
    </w:p>
    <w:p>
      <w:r>
        <w:rPr>
          <w:b/>
        </w:rPr>
        <w:t>E. 9</w:t>
      </w:r>
    </w:p>
    <w:p>
      <w:r>
        <w:t>Bei diesem Ausgang des Verfahrens wären die Kosten den Beschwerdeführenden aufzuerlegen (Art. 63 Abs. 1 VwVG). Gestützt auf Art. 6 Bst. b des Reglements vom 21. Februar 2008 über die Kosten und Entschädigungen vor dem Bundesverwaltungsgericht (VGKE, SR 173.320.2) sind ihnen jedoch die Verfahrenskosten zu erlassen, weshalb sich eine Beurteilung des Gesuchs um Gewährung der unentgeltlichen Rechtspflege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