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F-4539/2024 vom 20. Januar 2025</w:t>
      </w:r>
    </w:p>
    <w:p>
      <w:r>
        <w:t>Bundesverwaltungsgericht, 2025-01-20, FR</w:t>
      </w:r>
    </w:p>
    <w:p>
      <w:r>
        <w:rPr>
          <w:b/>
        </w:rPr>
        <w:t xml:space="preserve">Quelle: </w:t>
      </w:r>
      <w:r>
        <w:t>https://mcp.opencaselaw.ch/entscheid/bvger_F-4539_2024</w:t>
      </w:r>
    </w:p>
    <w:p>
      <w:r>
        <w:t>FR: TAF F-4539/2024 du 20 janvier 2025</w:t>
      </w:r>
    </w:p>
    <w:p>
      <w:r>
        <w:t>IT: TAF F-4539/2024 del 20 gennaio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La procédure devant le Tribunal est régie par la PA, pour autant que ni la LTAF (cf. art. 37 LTAF) ni la LAsi (cf. art. 6 LAsi) n'en disposent autrement.</w:t>
      </w:r>
    </w:p>
    <w:p>
      <w:r>
        <w:rPr>
          <w:b/>
        </w:rPr>
        <w:t>E. 1.3</w:t>
      </w:r>
    </w:p>
    <w:p>
      <w:r>
        <w:t>L'intéressée a qualité pour recourir ; le recours, qui a été interjeté dans la forme et le délai prescrits, est recevable (art. 48 al. 1 et 52 al. 1 PA, applicables par renvoi de l'art. 37 LTAF, et art. 108 al. 3 LAsi). La conclusion de la recourante tendant à son attribution au canton de Genève est quant à elle toutefois irrecevable, étant donné qu'elle excède le cadre du présent litige (cf. ATAF 2015/18 consid. 5.2).</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Sur le fond,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2017 VI/7 consid. 2.1).</w:t>
      </w:r>
    </w:p>
    <w:p>
      <w:r>
        <w:rPr>
          <w:b/>
        </w:rPr>
        <w:t>E. 2.4</w:t>
      </w:r>
    </w:p>
    <w:p>
      <w:r>
        <w:t>Selon l'art. 13 par. 1 RD III, lorsqu'il est établi que le demandeur a franchi irrégulièrement la frontière d'un Etat membre dans lequel il est entré en venant d'un Etat tiers, cet Etat membre est responsable de l'examen de la demande de protection internationale. L'Etat responsable de l'examen d'une demande de protection internationale en vertu du règlement Dublin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let. a et b RD III).</w:t>
      </w:r>
    </w:p>
    <w:p>
      <w:r>
        <w:rPr>
          <w:b/>
        </w:rPr>
        <w:t>E. 2.5</w:t>
      </w:r>
    </w:p>
    <w:p>
      <w:r>
        <w:t>En l'espèce, les autorités portugaises ont refusé de reprendre en charge l'intéressée (cf. let D supra) au motif que l'Italie, faute de leur avoir présenté une demande de reprise en charge dans les délais, était donc désormais compétente. Sur cette base ainsi que sur les informations récoltées lors de l'entretien Dublin ainsi que sur les pièces du dossier- dont il ressort notamment que la préfecture de Rome a entendu la recourante sur ses motifs d'asile et lui a octroyé un permis de séjour provisoire en attendant l'issue de sa demande -, le SEM a soumis aux autorités italiennes une requête aux fins de sa reprise en charge de l'intéressée conformément à l'art. 18 par. 1 let. b RD III (cf. let. G supra).</w:t>
      </w:r>
    </w:p>
    <w:p>
      <w:r>
        <w:rPr>
          <w:b/>
        </w:rPr>
        <w:t>E. 2.6</w:t>
      </w:r>
    </w:p>
    <w:p>
      <w:r>
        <w:t>Les autorités italiennes n'ayant pas répondu dans le délai prévu par l'art. 25 par. 2 RD III, elles sont réputées avoir accepté leur compétence pour traiter de la demande d'asile de la recourante. La responsabilité de l'Italie pour traiter la demande d'asile de cette dernière est dès lors établie.</w:t>
      </w:r>
    </w:p>
    <w:p>
      <w:r>
        <w:rPr>
          <w:b/>
        </w:rPr>
        <w:t>E. 3.1</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 Charte UE), l'Etat procédant à la détermination de l'Etat responsable poursuit l'examen des critères fixés au chapitre III afin d'établir si un autre Etat peut être désigné comme responsable.</w:t>
      </w:r>
    </w:p>
    <w:p>
      <w:r>
        <w:rPr>
          <w:b/>
        </w:rPr>
        <w:t>E. 3.2</w:t>
      </w:r>
    </w:p>
    <w:p>
      <w:r>
        <w:t>Il ressort de la jurisprudence récente du Tribunal que celui-ci considère qu'il n'y a pas lieu de conclure à l'existence de défaillances systémiques au sens de l'art. 3 par. 2 al. 2 RD III en Italie, quand bien même la procédure d'asile et le dispositif d'accueil et d'assistance sociale dans ce pays souffrent de certaines carences (cf. arrêts de référence du TAF D-4235/2021 du 19 avril 2022 consid. 10.2 ; voir, aussi, arrêts du TAF F-4949/2024 du 12 août 2024 consid. 2.1 ; F-1541/2024 du 15 mars 2024 consid. 5.4 ; F-1466/2024 du 13 mars 2024 ; F-476/2024 du 30 janvier 2024 consid. 5.2). Partant, le respect par l'Italie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(cf. ATAF 2017 VI/5 consid. 8.4.4 ; arrêt du TAF D-4235/2021 précité consid. 10.1).</w:t>
      </w:r>
    </w:p>
    <w:p>
      <w:r>
        <w:rPr>
          <w:b/>
        </w:rPr>
        <w:t>E. 3.3</w:t>
      </w:r>
    </w:p>
    <w:p>
      <w:r>
        <w:t>En outre, la circonstance que l'Italie refuse temporairement l'exécution des transferts Dublin ne saurait suffire à elle seule à retenir l'existence de défaillances systémiques. A cet égard, dans un récent arrêt de la Cour de Justice de l'Union européenne du 19 décembre 2024 (affaires jointes C-185/24 et C-189/24), la Cour a estimé que le fait qu'un Etat membre suspende de manière unilatérale les prises en charge des demandeurs d'asile n'est pas de nature à elle seule à justifier le constat de défaillances systémiques dans la procédure d'asile et les conditions d'accueil des demandeurs de protection internationale (par. 43 de l'arrêt C-185/24 précité).</w:t>
      </w:r>
    </w:p>
    <w:p>
      <w:r>
        <w:rPr>
          <w:b/>
        </w:rPr>
        <w:t>E. 3.4</w:t>
      </w:r>
    </w:p>
    <w:p>
      <w:r>
        <w:t>Partant, en l'absence d'une pratique actuelle avérée en Italie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se justifie pas en l'espèce.</w:t>
      </w:r>
    </w:p>
    <w:p>
      <w:r>
        <w:rPr>
          <w:b/>
        </w:rPr>
        <w:t>E. 4.1</w:t>
      </w:r>
    </w:p>
    <w:p>
      <w:r>
        <w:t>Pour s'opposer à son transfert vers l'Italie, la recourante invoque toutefois son état de santé précaire ainsi que ses conditions de vie difficiles dans ce pays. Dans son dernier courrier, cette dernière a exprimé sa préférence de retourner dans son pays d'origine (Cuba) plutôt que d'être transférée en Italie.</w:t>
      </w:r>
    </w:p>
    <w:p>
      <w:r>
        <w:rPr>
          <w:b/>
        </w:rPr>
        <w:t>E. 4.2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S'agissant tout d'abord des affections médicales invoquées par la recourante, il faut rappeler que le retour forcé d'une personne touchée dans sa santé n'est, selon la jurisprudence de la Cour EDH (cf. arrêt Savran c. Danemark [GC] du 7 décembre 2021, requête n° 57467/15 par. 122 à 139 et arrêt Paposhvili c. Belgique [GC]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jurisp. cit.).</w:t>
      </w:r>
    </w:p>
    <w:p>
      <w:r>
        <w:rPr>
          <w:b/>
        </w:rPr>
        <w:t>E. 4.3.1</w:t>
      </w:r>
    </w:p>
    <w:p>
      <w:r>
        <w:t>En l'espèce, au vu des pièces versées au dossier, il est indéniable que la recourante est atteinte dans sa santé mentale, notamment du fait de ses fréquentes décompensations psychotiques. Bien qu'aucun diagnostic ne ressorte des deux rapports d'hospitalisation, cette dernière a probablement été internée en psychiatrie pour des décompensations. En outre, le dernier certificat médical versé au dossier expose que l'intéressée suit un traitement anxiolytique pour ses crises d'angoisse et d'agitation. Malgré ce qui précède, le Tribunal relève que les problèmes qui affectent la santé de la recourante - sans vouloir les minimiser - ne sont pas d'une gravité telle, qu'ils permettraient - compte tenu de la jurisprudence restrictive en la matière - de conclure que cette dernière ne serait pas apte à voyager ou que son transfert vers l'Italie l'exposerait à un danger réel pour sa vie, respectivement sa santé (cf., à ce sujet, Cour EDH précités Savran c. Danemark, par. 133 et Paposhvili c. Belgique, par. 183). La situation de l'intéressée, telle qu'elle ressort des documents médicaux produits, n'est en effet pas révélatrice de maladies d'une gravité ou d'une spécificité telle qu'elles ne pourraient pas être traitées en Italie. A cet égard, le Tribunal considère en effet que les traitements psychologiques de cette dernière pourront se poursuivre en Italie, comme cela était déjà le cas à l'époque, la recourante ayant elle-même versé au dossier différents rapports sur sa prise en charge médicale dans ce pays entre 2023 et 2024.</w:t>
      </w:r>
    </w:p>
    <w:p>
      <w:r>
        <w:rPr>
          <w:b/>
        </w:rPr>
        <w:t>E. 4.3.2</w:t>
      </w:r>
    </w:p>
    <w:p>
      <w:r>
        <w:t>En tout état de cause, l'Italie, qui est liée par la directive Accueil et qui dispose à l'évidence de structures médicales comparables à la Suisse,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4.3.3</w:t>
      </w:r>
    </w:p>
    <w:p>
      <w:r>
        <w:t>Ainsi, l'état de santé de l'intéressée n'est pas de nature à faire obstacle à un transfert vers l'Italie. Cela étant, il incombera aux autorités suisses chargées de l'exécution du transfert de transmettre à leurs homologues italiens, en temps utile, les renseignements permettant une prise en charge médicale adéquate de la recourante (art. 31 et 32 du règlement Dublin III), celle-là ayant donné son accord écrit à la transmission d'informations médicales.</w:t>
      </w:r>
    </w:p>
    <w:p>
      <w:r>
        <w:rPr>
          <w:b/>
        </w:rPr>
        <w:t>E. 4.4</w:t>
      </w:r>
    </w:p>
    <w:p>
      <w:r>
        <w:t>S'agissant des conditions de vie en Italie, bien que le Tribunal conçoive qu'il est possible que les conditions de logement aient pu y être difficiles, les critiques énoncées à cet égard n'atteignent pas un degré de pénibilité et de gravité qui permettrait de conclure à un traitement contraire à l'art. 3 CEDH, respectivement à l'art. 3 CCT. De la même façon, la recourante n'a pas apporté d'indices objectifs, concrets et sérieux permettant d'admettre qu'elle serait durablement privée de tout accès à des conditions matérielles minimales d'accueil prévues par la directive Accueil et qu'elle ne pourrait pas bénéficier de l'aide dont elle pourrait avoir besoin pour faire valoir ses droits. Si l'intéressée devait toutefois, à son retour en Italie, estimer que cet Etat ne respecte pas les directives européennes en matière d'asile, il lui appartiendra de faire valoir ses droits directement auprès des autorités de ce pays en usant des voies de droit adéquates.</w:t>
      </w:r>
    </w:p>
    <w:p>
      <w:r>
        <w:rPr>
          <w:b/>
        </w:rPr>
        <w:t>E. 4.5</w:t>
      </w:r>
    </w:p>
    <w:p>
      <w:r>
        <w:t>Quant au souhait de la recourante de retourner, le cas échéant, à Cuba plutôt que d'être transférée en Italie, le Tribunal relève en premier lieu que le règlement Dublin ne confère pas aux demandeurs d'asile le droit de choisir l'Etat par lequel ils souhaitent que leur demande d'asile soit traitée et, a fortiori, leur renvoi vers leur pays d'origine exécuté (cf. arrêt du TAF F-3101/2021 du 13 juillet 2021 consid 5.3). L'intéressée ne peut, dès lors, déduire aucune prétention dudit règlement à pouvoir demeurer en Suisse pour l'exécution de son retour volontaire vers Cuba. En outre, la recourante n'ayant pas retiré sa demande d'asile du 5 mars 2024, rien ne justifie de mettre un terme à la procédure Dublin entamée par le SEM. Le fait que la procédure Dublin suive son cours n'empêche toutefois pas l'intéressée d'entreprendre, de son propre mouvement, des démarches en vue d'un retour volontaire vers l'Italie.</w:t>
      </w:r>
    </w:p>
    <w:p>
      <w:r>
        <w:rPr>
          <w:b/>
        </w:rPr>
        <w:t>E. 4.6</w:t>
      </w:r>
    </w:p>
    <w:p>
      <w:r>
        <w:t>Au vu de ce qui précède, le transfert de l'intéressée n'est pas contraire aux obligations de la Suisse découlant des art. 3 CEDH et 3 CCT.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5</w:t>
      </w:r>
    </w:p>
    <w:p>
      <w:r>
        <w:t>C'est ainsi à bon droit que l'autorité inférieure n'est pas entrée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6</w:t>
      </w:r>
    </w:p>
    <w:p>
      <w:r>
        <w:t>Vu l'issue de la cause, il y aurait lieu de mettre les frais de procédure à la charge de la recourante, conformément à l'art. 63 al. 1 PA et aux art. 2 et 3 let. a FITAF (RS 173.320.2). Toutefois, par décision du 7 août 2024, le Tribunal a octroyé l'assistance judiciaire partielle. Il n'est donc pas perçu de frais de procédure. Ayant succombé, l'intéressée n'a par ailleurs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