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F-4520/2019 vom 31. März 2021</w:t>
      </w:r>
    </w:p>
    <w:p>
      <w:r>
        <w:t>Bundesverwaltungsgericht, 2021-03-31, IT</w:t>
      </w:r>
    </w:p>
    <w:p>
      <w:r>
        <w:rPr>
          <w:b/>
        </w:rPr>
        <w:t xml:space="preserve">Quelle: </w:t>
      </w:r>
      <w:r>
        <w:t>https://mcp.opencaselaw.ch/entscheid/bvger_F-4520_2019</w:t>
      </w:r>
    </w:p>
    <w:p>
      <w:r>
        <w:t>FR: TAF F-4520/2019 du 31 mars 2021</w:t>
      </w:r>
    </w:p>
    <w:p>
      <w:r>
        <w:t>IT: TAF F-4520/2019 del 31 marzo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23 luglio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23 luglio 2019, pronunciante un divieto d'entrata in Svizzera e nel Liechtenstein di dieci anni (23.7.2019 - 22.7.2029), di cui il ricorrente chiede l'annullamento o la riduzione della durata a due anni.</w:t>
      </w:r>
    </w:p>
    <w:p>
      <w:r>
        <w:rPr>
          <w:b/>
        </w:rPr>
        <w:t>E. 4</w:t>
      </w:r>
    </w:p>
    <w:p>
      <w:r>
        <w:t>L'ALC è applicabile ratione temporis, ratione personae e ratione materiae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dieci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w:t>
      </w:r>
    </w:p>
    <w:p>
      <w:r>
        <w:rPr>
          <w:b/>
        </w:rPr>
        <w:t>E. 6.3</w:t>
      </w:r>
    </w:p>
    <w:p>
      <w:r>
        <w:t>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DTF 139 II 121 consid. 5.1 e 6.3).</w:t>
      </w:r>
    </w:p>
    <w:p>
      <w:r>
        <w:rPr>
          <w:b/>
        </w:rPr>
        <w:t>E. 6.4</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6.5</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6.6</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massima indipendenti l'una dall'altro, entrambe le misure possono coesistere ed applicarsi ad una medesima fattispecie. Un divieto d'entrata può essere adottato anche in assenza di un giudizio penale, sia per 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In prosieguo importa stabilire se le condizioni per emettere un divieto d'entrata in sé (minaccia almeno di una certa gravità) fossero adempiute il 23 luglio 2019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Come si può evincere dai documenti disponibili, il ricorrente è stato colpito da un primo divieto d'entrata di durata illimitata nel 2004, e ciò per aver infranto la legge federale sugli stupefacenti in modo grave e ripetuto, trafficando (acquisto, vendita, consumo) circa 192 gr. di cocaina dal 1985 al 1989, rispettivamente 253.9 gr. della medesima sostanza nel 2001, che hanno dato luogo a una pena detentiva di due anni e quattro mesi nel 1989, e di dodici mesi nel 2003. Il ricorrente non si è tuttavia conformato al divieto d'entrata, recandosi in Svizzera a suo piacimento, in diverse occasioni, nel 2005 e 2006, dove ha, per giunta, spacciato un grammo di cocaina ed acquistato due palline della stessa sostanza per il proprio consumo, motivi per i quali è stato sanzionato con una pena detentiva di sessanta giorni senza la condizionale. A questo si aggiunge che il ricorrente ha subito in Italia un mese d'arresto, commutato in una multa, per avere guidato in stato di ebbrezza nel 2007. Così, in totale, il ricorrente ha cumulato sei condanne a pene detentive dal 1989 al 2007, di cui cinque in Svizzera, compresa quella per furto del 1992, due delle quali dopo il rilascio del divieto d'entrata, ed una in Italia (cfr. consid. A, B e C). Ora, a sé stanti, e malgrado la loro gravità oggettiva che è funzione della loro pericolosità per la salute pubblica, si deve riconoscere che questi fatti, considerata la loro lontananza nel tempo, non erano più suscettibili di influire sull'attualità della minaccia per l'ordine e la sicurezza pubblici svizzera il 23 luglio 2019, data del divieto d'entrata, e tanto meno è loro attribuibile un influsso del genere al momento della pronuncia della presente sentenza. Eppure, riguardo all'apprezzamento globale della condotta del ricorrente nel solco del tempo, essi rimangono pertinenti, specialmente nella misura in cui danno uno spaccato del suo dispregio delle decisioni amministrative e giudiziarie (cfr., mutatis mutandis, la sentenza del Tribunale federale 2C_993/2015 del 17 marzo 2016 consid. 5.3.1).</w:t>
      </w:r>
    </w:p>
    <w:p>
      <w:r>
        <w:rPr>
          <w:b/>
        </w:rPr>
        <w:t>E. 7.2</w:t>
      </w:r>
    </w:p>
    <w:p>
      <w:r>
        <w:t>Dopo aver ottenuto la revoca del divieto d'entrata il 22 aprile 2010, il ricorrente non ha cessato di interessare la giustizia, né in Svizzera, né in Italia (cfr. consid. D e E). Nel 2014, in Ticino, al ricorrente è stata inflitta una pena pecuniaria di trenta aliquote giornaliere per avere guidato sotto l'influsso di alcol e di cocaina, bruciando un semaforo rosso nel 2013, nonché per il possesso di 0.6 gr. e il consumo di almeno 6 gr. di cocaina dall'ottobre 2010 all'ottobre 2013. Nel 2015, in relazione a fatti accaduti in Italia dal luglio 2009 al marzo 2010, il ricorrente è stato condannato, su appello, a quattro anni e due mesi di reclusione e ad un'ammenda di EUR 20'000.-, con l'interdizione dagli uffici pubblici durante cinque anni, per detenzione e vendita illecite di sostanze stupefacenti.</w:t>
      </w:r>
    </w:p>
    <w:p>
      <w:r>
        <w:rPr>
          <w:b/>
        </w:rPr>
        <w:t>E. 7.3</w:t>
      </w:r>
    </w:p>
    <w:p>
      <w:r>
        <w:t>Tirando le somme, si possono accertare, sul lungo periodo dal 1989 al 2015, nove sanzioni penali contro il ricorrente, ovvero sei in Svizzera e tre in Italia, tre durante la validità del divieto d'entrata dell'UFM e tre dopo la sua revoca, due in materia di circolazione stradale, due in materia di diritto degli stranieri e cinque in materia di sostanze stupefacenti, con tre pene detentive senza la condizionale nel 1989, 2006 e 2015, alle quali bisogna aggiungere una multa ed un'ammenda. Queste condanne si rapportano a fatti raggruppabili in tre grandi periodi approssimativi: 1985 - 1992, 2001 - 2007 e 2009 - 2018. Da questo quadro risulta che le infrazioni in questione non si presentano come degli atti isolati, ma si caratterizzano per continuità e persistenza, palesando una propensione del ricorrente a trasgredire la legge, senza che riesca a cambiare il suo comportamento o che riconosca la necessità di emendarsi. A questo proposito, né il divieto d'entrata del 2004, né il permesso di dimora "B" UE/AELS del 2011 (cfr. consid. B e D), sono riusciti ad inibire la proclività a delinquere del ricorrente, il quale ha recidivato nei reati contro la sicurezza stradale, la sicurezza migratoria e la salute collettiva.</w:t>
      </w:r>
    </w:p>
    <w:p>
      <w:r>
        <w:rPr>
          <w:b/>
        </w:rPr>
        <w:t>E. 7.3.1</w:t>
      </w:r>
    </w:p>
    <w:p>
      <w:r>
        <w:t>In relazione alla sicurezza stradale occorre sottolineare che, secondo una giurisprudenza consolidata, "guidare in stato di ubriachezza mette gravemente in pericolo la vita del conduttore e degli altri utenti della strada" (sentenza del Tribunale federale 2C_452/2017 del 2 luglio 2018 consid. 4.4 con i rinvii). Ora, il ricorrente è stato condannato in Italia, nel 2007, ad un mese d'arresto, sostituito da un'ammenda di EUR 1'140.-, per avere guidato "in stato di ebbrezza" (cfr. consid. C). Dal canto suo, il MPCT ha inflitto una pena pecuniaria al ricorrente nel 2014, dato che egli aveva condotto il suo veicolo a motore "in stato di ebrietà con una concentrazione qualificata di alcol nell'alito o nel sangue" (alcolemia: 0.69 - 1.26 gr. per mille), e "in stato di inattitudine alla guida per altri motivi" (cocaina; cfr. art. 91 cpv. 2 lett. a e b della legge federale sulla circolazione stradale del 19 dicembre 1958 [LCStr, RS 741.01]). Questo significa che il ricorrente ha infranto "gravemente le norme della circolazione", causando "un serio pericolo per la sicurezza altrui" od assumendo "il rischio di detto pericolo" (art. 90 cpv. 2 LCStr), materializzatosi nell'inosservanza di un semaforo rosso (cfr. consid. E). Stando così le cose, né la gravità delle potenziali infrazioni alla LCStr (e alle corrispondenti normative di altri Stati), né il rischio di ulteriori recidive vanno minimizzati e, tantomeno, negati. Si aggiunga che se il ricorrente non è più incorso in violazioni delle regole sulla circolazione stradale durante il periodo che si estende, in modo approssimativo, dal 2015 al 2019, questo è dovuto anche al fatto che egli stava espiando la pena italiana del 27 aprile 2015 a quattro anni e due mesi di reclusione (cfr. consid. E e G). Ne discende che il ricorrente rappresentava e continua a rappresentare una grave minaccia per l'ordine e la sicurezza pubblici sotto il profilo della circolazione stradale.</w:t>
      </w:r>
    </w:p>
    <w:p>
      <w:r>
        <w:rPr>
          <w:b/>
        </w:rPr>
        <w:t>E. 7.3.2</w:t>
      </w:r>
    </w:p>
    <w:p>
      <w:r>
        <w:t>Sul piano della sicurezza migratoria bisogna puntualizzare che, in accordo con una giurisprudenza costante, l'entrata e il soggiorno illegali in Svizzera, nonché l'esercizio di un'attività lucrativa senza autorizzazione, rappresentano una violazione grave del diritto degli stranieri (cfr., tra le altre, la sentenza TAF F-1438/2019 del 16 settembre 2020 consid. 7.2 con i riferimenti; cfr. anche il consid. 6.1). Ora, il ricorrente non si è conformato a più riprese, nel 2005 e 2006, al divieto d'entrata da cui è stato colpito nel 2004, e ciò scientemente (cfr. consid. B e C). Questa disinvoltura induce a credere che egli non considera necessario attenersi ad un divieto d'entrata, essendo abituato a fare di proprio arbitrio, da cui un rischio concreto di recidiva. Ne deriva che il ricorrente costituiva e continua a costituire una minaccia per l'ordine e la sicurezza pubblici, almeno di una certa gravità, anche nell'ottica della sicurezza migratoria.</w:t>
      </w:r>
    </w:p>
    <w:p>
      <w:r>
        <w:rPr>
          <w:b/>
        </w:rPr>
        <w:t>E. 7.3.3</w:t>
      </w:r>
    </w:p>
    <w:p>
      <w:r>
        <w:t>Dal punto di vista della salute collettiva importa evidenziare che, in conformità ad una giurisprudenza consolidata, i reati in materia di sostanze stupefacenti rappresentano, di per sé, un pericolo serio e concreto per un interesse fondamentale della società, ossia la lotta al traffico di droga e al diffondersi del suo consumo, essendo precisato che questa visione delle cose è condivisa con la Svizzera da tutti gli Stati membri dell'Unione europea (cfr. DTF 139 II 121 consid. 5.3 e 129 II 215 consid. 7.3 con i numerosi riferimenti). Ora, è opportuno innanzitutto rivolgere l'attenzione alla sentenza italiana del 2015, la più recente, che ha inflitto al ricorrente quattro anni e due mesi di reclusione, nonché una multa di EUR 20'000.-, per vendita e detenzione illecite di sostanze stupefacenti (cfr. consid. E). La notevole misura di questa pena, senza la condizionale, impressiona e, malgrado la mancanza di ulteriori dettagli sui fatti delittuosi che l'hanno generata, riflette l'indubbia pericolosità per la salute pubblica dell'agire del ricorrente. Si osservi che, nell'impugnativa, quest'ultimo propende a minimizzare la portata della sentenza del 2015, contentandosi di affermare, verosimilmente con riferimento all'estratto del suo casellario giudiziale italiano, che la medesima concerne la vendita e la detenzione di sostanze stupefacenti, e che i fatti incriminati si sono svolti tra il luglio 2009 e il marzo 2010 (cfr. ricorso, pag. 5). In proposito, nulla avrebbe impedito al ricorrente di esibire la sentenza in questa sede e di commentarla con perspicacia, se avesse reputato di poterne ricavare qualcosa a suo favore. Non avendo proceduto in questo modo, non rimane che constatare l'importanza della pena italiana, con la precisazione che i fatti sanzionati non sono né vicini nel tempo, né remoti. La seconda condanna più recente per traffico di sostanze stupefacenti è quella del dicembre 2003, con la quale la CAC ha comminato al ricorrente una pena detentiva di dodici mesi, sospesa condizionalmente, in relazione al trasporto di 253.9 gr. di cocaina e all'acquisto di 12 gr. di cocaina per il proprio consumo, fatti avvenuti nel 2001 (cfr. consid. B). Come risulta dalla sentenza, il ricorrente sapeva o doveva presumere che, trasportando 253.9 gr. di cocaina, poteva mettere direttamente o indirettamente in pericolo la salute di molte persone (cfr. art. 19 cpv. 2 lett. a della legge federale sugli stupefacenti del 3 ottobre 1951 [LStup, RS 812.121]). Al riguardo, si noti che, secondo la giurisprudenza, lo spaccio di 18 gr. di cocaina bastano per mettere in pericolo la salute di venti persone (cfr. DTF 145 IV 312 consid. 2.1.1 e 109 IV 143 consid. 3b, nonché la sentenza TAF F-6368/2019 del 26 ottobre 2020 consid. 6.4.1). Se si paragona la soglia minima di 18 gr. di cocaina con la quantità di 253.9 gr. di cocaina trasportata dal ricorrente, la misura della minaccia per la salute pubblica risalta nitidamente. A partire da questa constatazione si deve aggiungere che, se il fatto incriminato è assai lontano nel tempo, esso si inserisce, come già ampiamente mostrato, in una lunga storia di delinquenza i cui episodi, nel loro susseguirsi ad intervalli può o meno lunghi, rafforzano la loro rispettiva rilevanza. Tra questi episodi non si possono sottacere, per importanza, quelli che hanno condotto, nel 1989, alla condanna della CAC ad una pena detentiva di due anni e quattro mesi senza la condizionale (cfr. consid. A). Ne consegue che la presenza del ricorrente in Svizzera comportava e continua a comportare una grave minaccia per l'ordine e la sicurezza pubblici dal punto di vista della salute collettiva.</w:t>
      </w:r>
    </w:p>
    <w:p>
      <w:r>
        <w:rPr>
          <w:b/>
        </w:rPr>
        <w:t>E. 7.4</w:t>
      </w:r>
    </w:p>
    <w:p>
      <w:r>
        <w:t>Alla luce delle considerazioni che precedono, la valutazione della SEM che il ricorrente costituiva, nel luglio 2019, una minaccia grave attuale per l'ordine e la sicurezza pubblici svizzeri, ai sensi della legge e della giurisprudenza (cfr. consid. 6), non presta il fianco a critiche, con la conseguenza che l'adozione di un divieto d'entrata superiore a cinque anni era giustificata (art. 67 cpv. 3 LStrI). Peraltro, dal momento del rilascio del divieto d'entrata, non sono intervenute circostanze che possano far credere ad un venir meno, anche solo parziale, dell'attualità della grave minaccia.</w:t>
      </w:r>
    </w:p>
    <w:p>
      <w:r>
        <w:rPr>
          <w:b/>
        </w:rPr>
        <w:t>E. 8</w:t>
      </w:r>
    </w:p>
    <w:p>
      <w:r>
        <w:t>Si tratta ora di fissare, in accordo con il principio di proporzionalità, la durata del divieto d'entrata in funzione del complesso delle circostanze del caso, nel quadro del diritto del ricorrente alla libera circolazione garantito dall'ALC (cfr. consid. 4), nonché, se del caso, del suo diritto al rispetto della sua vita privata e familiare secondo l'art. 8 § 1 della Convenzione europea dei diritti dell'uomo (CEDU, RS 0.101).</w:t>
      </w:r>
    </w:p>
    <w:p>
      <w:r>
        <w:rPr>
          <w:b/>
        </w:rPr>
        <w:t>E. 8.1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come diffusamente esposto in precedenza, il ricorrente ha violato gravemente, a più riprese e su un lasso di tempo molto lungo, sia in Svizzera che in Italia, l'ordine e la sicurezza pubblici in relazione alla circolazione stradale, alla migrazione e al traffico di sostanze stupefacenti. In questo contesto un divieto d'entrata di dieci anni, finalizzato a prevenire la commissione di ulteriori reati in Svizzera, soddisfa le esigenze del principio di proporzionalità riguardo alla sua idoneità, alla sua necessità e alla sua preponderanza per la difesa dell'ordine e della sicurezza pubblici. Questa durata rientra, mutatis mutandis, nel ventaglio, che spazia grosso modo da sette a quindici anni, di quelle fissate in materia di traffico di sostanze stupefacenti (acquisto, detenzione, vendita, trasporto, consumo) dalla giurisprudenza federale in relazione a persone coperte dall'ALC (cfr., tra le altre, le sentenze del Tribunale federale 2C_387/2017 del 29 maggio 2018 e 2C_832/2015 del 22 dicembre 2015, nonché le sentenze TAF F-215/2018 dell'11 febbraio 2020, F-2522/2015 del 2 giugno 2017 e C-2758/2013 del 6 agosto 2015). Tuttavia, è ancora necessario verificare se un divieto d'entrata di dieci anni sia compatibile, per quanto applicabile, anche con l'art. 8 CEDU.</w:t>
      </w:r>
    </w:p>
    <w:p>
      <w:r>
        <w:rPr>
          <w:b/>
        </w:rPr>
        <w:t>E. 8.4</w:t>
      </w:r>
    </w:p>
    <w:p>
      <w:r>
        <w:t>A questo proposito non vi sono dubbi che il ricorrente può invocare l'art. 8 § 1 CEDU, considerato che il divieto d'entrata costituisce un'ingerenza statale nell'esercizio del suo diritto al rispetto della sua vita privata e familiare. Sul piano della sua vita privata (professionale) il ricorrente non ha però, e non fa valere, interessi particolari da tutelare, tanto più che percepisce ormai una rendita ordinaria di vecchiaia svizzera (cfr. consid. H). In questo senso egli non può ricavare nulla dall'art. 8 § 1 CEDU riguardo ad un'eventuale riduzione della durata del divieto d'entrata. Sul piano della vita familiare si deve notare che la moglie del ricorrente, cittadina ... provvista di un permesso di domicilio "C" UE/AELS, vive da anni in Ticino. È quindi indubbio che il divieto d'entrata, sia esso di dieci anni o di una durata inferiore, interferisce ed interferirà nella vita di coppia, fermo restando che la ragione principale che ha condotto alla separazione fisica dei coniugi, che non hanno figli, è il decadimento del permesso di dimora del ricorrente (cfr. consid. F), che implica che egli non può più continuare a vivere in Svizzera. Tuttavia, per rimediare agli effetti del divieto d'entrata, appare esigibile che la coppia si trasferisca in Italia, ad esempio nella zona di confine, se il ricorrente, nato e cresciuto nella vicina Penisola, e sua moglie lo reputano più pratico per la loro relazione coniugale, anche per poter sostenersi vicendevolmente in momenti difficili (cfr. ricorso, pag. 7). Beninteso, questa soluzione non è di per sé evidente, se si tiene conto che la moglie del ricorrente percepisce delle prestazioni complementari alla sua rendita ordinaria di vecchiaia, le quali ammontavano a fr. 1'926.- mensili nel 2019, con in più il premio forfettario per l'assicurazione malattia di fr. 517.- al mese (cfr. ricorso, doc. 9). Stabilendosi in Italia, la moglie del ricorrente perderebbe il diritto alle dette prestazioni complementari (cfr. artt. 4 cpv. 1 lett. a e 5 cpv. 1 della legge federale sulle prestazioni complementari all'assicurazione per la vecchiaia, i superstiti e l'invalidità del 6 ottobre 2006 [LPC, RS 831.30]), per cui la sua situazione finanziaria ne risentirebbe tangibilmente. Ad ogni modo, bisogna considerare che le prestazioni complementari sono versate "per coprire il fabbisogno esistenziale" in Svizzera (art. 2 cpv. 1 LPC), e che il medesimo fabbisogno in Italia è notoriamente meno elevato in termini pecuniari. Inoltre, alla moglie del ricorrente resterebbe la rendita ordinaria di vecchiaia, di cui non si conosce l'importo, e al ricorrente la propria rendita, pari a fr. 527.- mensili nel 2019 (cfr. consid. H), le quali sono infatti esportabili in Italia (cfr. art. 8 lett. d ALC). Vale la pena aggiungere, per terminare, che il ricorrente non può che rimproverare sé stesso se si ritrova presentemente, da poco pensionato, a dover risolvere questo dilemma esistenziale.</w:t>
      </w:r>
    </w:p>
    <w:p>
      <w:r>
        <w:rPr>
          <w:b/>
        </w:rPr>
        <w:t>E. 8.5</w:t>
      </w:r>
    </w:p>
    <w:p>
      <w:r>
        <w:t>Così, sulla scorta di quanto precede, la ponderazione dell'interesse pubblico della Svizzera a tenere lontano dal suo territorio il ricorrente e l'interesse privato di quest'ultimo ad usufruire della libera circolazione secondo l'ALC, essenzialmente facendo uso del suo diritto d'ingresso in Svizzera per intrattenere la sua relazione coniugale (cfr. art. 1 § 1 allegato I ALC e art. 8 § 1 CEDU), permette di concludere che la durata del divieto d'entrata di dieci anni, benché possa sembrare troppo severa al ricorrente, è proporzionata.</w:t>
      </w:r>
    </w:p>
    <w:p>
      <w:r>
        <w:rPr>
          <w:b/>
        </w:rPr>
        <w:t>E. 9</w:t>
      </w:r>
    </w:p>
    <w:p>
      <w:r>
        <w:t>Di conseguenza, pronunciando un divieto d'entrata di dieci anni, la SEM non ha infranto il diritto applicabile (LStrI, ALC, CEDU), compreso il principio di proporzionalità nell'esercizio del suo potere d'apprezzamento (art. 49 lett. a PA). Stando così le cose, in accordo con le considerazioni sopraesposte, il ricorso deve essere respinto, e la decisione impugnata confermata.</w:t>
      </w:r>
    </w:p>
    <w:p>
      <w:r>
        <w:rPr>
          <w:b/>
        </w:rPr>
        <w:t>E. 10</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