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F-4516/2022 vom 11. Oktober 2022</w:t>
      </w:r>
    </w:p>
    <w:p>
      <w:r>
        <w:t>Bundesverwaltungsgericht, 2022-10-11, DE</w:t>
      </w:r>
    </w:p>
    <w:p>
      <w:r>
        <w:rPr>
          <w:b/>
        </w:rPr>
        <w:t xml:space="preserve">Quelle: </w:t>
      </w:r>
      <w:r>
        <w:t>https://mcp.opencaselaw.ch/entscheid/bvger_F-4516_2022</w:t>
      </w:r>
    </w:p>
    <w:p>
      <w:r>
        <w:t>FR: TAF F-4516/2022 du 11 octobre 2022</w:t>
      </w:r>
    </w:p>
    <w:p>
      <w:r>
        <w:t>IT: TAF F-4516/2022 del 11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 unter Vorbehalt von E. 2.2. nachstehend -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 Die Fragen der Anerkennung der Flüchtlingseigenschaft, der Gewährung von Asyl, der Feststellung der Unmöglichkeit, Unzulässigkeit und Unzumutbarkeit des Wegweisungsvollzugs sowie der Anordnung der vorläufigen Aufnahme bilden demgegenüber nicht Gegenstand des angefochtenen Nichteintretensentscheides und damit auch nicht des vorliegenden Verfahrens, weshalb auf die entsprechenden Anträge nicht einzutreten ist.</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belgischen Behörden stimmten dem Wiederaufnahmeersuchen der Vorinstanz innert der in Art. 25 Abs. 1 Dublin-III-VO festgelegten Frist zu. Die Zuständigkeit Belgiens ist somit grundsätzlich gegeben, was vom Beschwerdeführer auch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ein Asylgesuch aus humanitären Gründen auch dann behandeln, wenn dafür gemäss Dublin-III-VO ein anderer Staat zuständig wäre. Liegen individuelle völkerrechtliche Überstellungshindernisse vor, ist der Selbsteintritt zwingend (BVGE 2015/9 E. 8.2.1).</w:t>
      </w:r>
    </w:p>
    <w:p>
      <w:r>
        <w:rPr>
          <w:b/>
        </w:rPr>
        <w:t>E. 4</w:t>
      </w:r>
    </w:p>
    <w:p>
      <w:r>
        <w:t>Der Beschwerdeführer macht zu Recht nicht geltend, das Asylverfahren und die Aufnahmebedingungen in Belgien würden systemische Schwachstellen im Sinn der zitierten Rechtsgrundlagen (vgl. E. 3.3) aufweisen (vgl. dazu auch Urteile des BVGer D-1834/2022 vom 27. April 2022, D-908/2022 vom 2. März 2022).</w:t>
      </w:r>
    </w:p>
    <w:p>
      <w:r>
        <w:rPr>
          <w:b/>
        </w:rPr>
        <w:t>E. 5</w:t>
      </w:r>
    </w:p>
    <w:p>
      <w:r>
        <w:t>Gegen eine Überstellung nach Belgien bringt der Beschwerdeführer einzig vor, er habe Schmerzen und bitte darum, die angefangene Behandlung im Krankenhaus fortsetzen zu dürfen.</w:t>
      </w:r>
    </w:p>
    <w:p>
      <w:r>
        <w:rPr>
          <w:b/>
        </w:rPr>
        <w:t>E. 5.1</w:t>
      </w:r>
    </w:p>
    <w:p>
      <w:r>
        <w:t>Dazu ist Folgendes festzuhalten: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5.2</w:t>
      </w:r>
    </w:p>
    <w:p>
      <w:r>
        <w:t>Aus den Akten ergibt sich im Wesentlichen folgender medizinischer Sachverhalt: Mit Arztbericht vom 13. Juli 2022 wurde beim Beschwerdeführer die Diagnose eines Verdachts auf posttraumatische Belastungsstörung festgehalten (SEM-act. 25). Zwecks Abklärung wurde er an einen Psychiater überwiesen, welcher einen Verdacht auf eine vorbestehende psychotische Erkrankung sowie eine leichte depressive Episode feststellte. Zur Therapie verordnete dieser die Fortsetzung und Anpassung der (bereits über ein Jahr eingenommenen) Medikation (SEM-act. 26). Aufgrund einer Schwellung im linken Rippenbogen wurde der Beschwerdeführer sodann am 2. September 2022 orthopädisch untersucht und am 5. September 2022 geröntgt (SEM-act. 22, 24). Der im Anschluss erstellte Sprechstundenbericht des Spitals D._______ vom 16. September 2022 hielt anamnestisch fest, der Beschwerdeführer berichte, dass die Schwellung seit etwa drei Jahren bestehe und kontinuierlich an Grösse zugenommen habe. Die MRT-Untersuchung zeige eine etwa 8 x 5 cm messende Raumforderung interkostal. Dabei könne es sich um einen benignen mesenchymalen Tumor oder einen lipomatösen Mischtumor handeln. Die Indikation zur Operation sei gegeben, wobei der Fall zunächst am Tumorboard vorgestellt werden solle, bevor ein Nachkontrolltermin vereinbart werde (SEM-act. 21).</w:t>
      </w:r>
    </w:p>
    <w:p>
      <w:r>
        <w:rPr>
          <w:b/>
        </w:rPr>
        <w:t>E. 5.3</w:t>
      </w:r>
    </w:p>
    <w:p>
      <w:r>
        <w:t>Bezüglich der vom Beschwerdeführer angeführten gesundheitlichen Probleme ist festzuhalten, dass die Vorinstanz die diagnostizierte Erkrankung nicht in Frage stellt und den Sachverhalt als genügend erstellt erachtet, um den Gesundheitszustand des Beschwerdeführers im Hinblick auf eine Wegweisung nach Belgien beurteilen zu können. Weder sei die indizierte Operation lebensnotwendig noch äusserst dringend. Zudem habe sich der Beschwerdeführer trotz jahrelanger Kenntnis von der Schwellung am linken Rippenbogen bisher nicht behandeln lassen. Es ist der Vorinstanz zuzustimmen, dass vorliegend nicht ersichtlich ist, weshalb allfällige Folgeuntersuchungen und Behandlungen in der Schweiz stattfinden müssten, zumal der Zugang zu allen notwendigen medizinischen Untersuchungen und Behandlungen in Belgien gewährleistet sein dürfte. Entgegen den unsubstantiierten und gänzlich unbelegt gebliebenen Vorbringen des Beschwerdeführers im vorinstanzlichen Verfahren sind keine Anhaltspunkte ersichtlich, dass die belgischen Behörden sich weigern würden,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sowie die von ihm benötigte medizinische Hilfeleistung zu gewähren. Ferner besteht kein Grund zur Annahme, eine Überstellung würde seine Gesundheit ernsthaft gefährden. Zudem wird er medikamentös versorgt. Die schweizerischen Behörden, die mit dem Vollzug der angefochtenen Verfügung beauftragt sind, werden die belgischen Behörden vorgängig in geeigneter Weise über die spezifischen medizinischen Umstände des Beschwerdeführers informieren (Art. 31 f. Dublin-III-VO).</w:t>
      </w:r>
    </w:p>
    <w:p>
      <w:r>
        <w:rPr>
          <w:b/>
        </w:rPr>
        <w:t>E. 6</w:t>
      </w:r>
    </w:p>
    <w:p>
      <w:r>
        <w:t>Der angefochtene Entscheid verletzt somit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Zu Recht ist sie auf das Asylgesuch nicht eingetreten und hat die Überstellung des Beschwerdeführers nach Belgien verfügt. Die Beschwerde ist abzuweisen, soweit darauf einzutreten ist. Das Gesuch um Gewährung der aufschiebenden Wirkung ist mit Ausfällung des vorliegenden Endentscheids gegenstandslos geworden.</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