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F-4510/2017 vom 7. Dezember 2017</w:t>
      </w:r>
    </w:p>
    <w:p>
      <w:r>
        <w:t>Bundesverwaltungsgericht, 2017-12-07, DE</w:t>
      </w:r>
    </w:p>
    <w:p>
      <w:r>
        <w:rPr>
          <w:b/>
        </w:rPr>
        <w:t xml:space="preserve">Quelle: </w:t>
      </w:r>
      <w:r>
        <w:t>https://mcp.opencaselaw.ch/entscheid/bvger_F-4510_2017</w:t>
      </w:r>
    </w:p>
    <w:p>
      <w:r>
        <w:t>FR: TAF F-4510/2017 du 7 décembre 2017</w:t>
      </w:r>
    </w:p>
    <w:p>
      <w:r>
        <w:t>IT: TAF F-4510/2017 del 7 dicembre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Beschwerdeführerin ist als Gastgeberin und Einsprecherin zur Beschwerde legitimiert (Art. 48 Abs. 1 VwVG). Obwohl der fest anberaumte Besuchszeitraum inzwischen abgelaufen ist, muss auf ein fortbestehendes Rechtschutzinteresse geschlossen werden. Dies belegt allein schon die Einreichung des Rechtsmittels.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Die Beschwerdeführerin rügt in formeller Hinsicht sinngemäss die Verletzung ihres Anspruchs auf rechtliches Gehör. Sie führt aus, das SEM wie auch das kantonale Migrationsamt hätten rechtserhebliche Fakten nicht berücksichtigt. Weder setzten sich die beiden Instanzen mit dem Sachverhalt genügend auseinander noch sei ein mögliches Risiko sachgerecht analysiert worden. Das SEM habe die Ablehnung einfach standardisiert.</w:t>
      </w:r>
    </w:p>
    <w:p>
      <w:r>
        <w:rPr>
          <w:b/>
        </w:rPr>
        <w:t>E. 3.2</w:t>
      </w:r>
    </w:p>
    <w:p>
      <w:r>
        <w:t>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übergangen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w:t>
      </w:r>
    </w:p>
    <w:p>
      <w:r>
        <w:rPr>
          <w:b/>
        </w:rPr>
        <w:t>E. 3.3</w:t>
      </w:r>
    </w:p>
    <w:p>
      <w:r>
        <w:t>Das SEM schloss in seinem Entscheid vom 20. Juli 2017 vorerst aufgrund der wirtschaftlichen Verhältnisse in Kenia darauf, dass das Risiko einer nicht fristgerechten Rückkehr des Gesuchstellers nach einem Besuchsaufenthalt in der Schweiz als hoch eingeschätzt werden müsse. In der Folge setzte sich die Vorinstanz mit dem Verhältnis der Gastgeberin zu ihrem Gast auseinander. Auch wird seine Erwerbstätigkeit festgehalten. Zwar sind die diesbezüglichen Erwägungen kurz ausgefallen, hingegen kann daraus nicht per se geschlossen werden, das SEM habe die zum Zeitpunkt des Erlasses der Verfügung bekannten Fakten zu den persönlichen Verhältnissen des Gesuchstellers nicht berücksichtigt. Zu erwähnen gilt es auch, dass der Gesuchsteller anlässlich seiner Befragung bei der schweizerischen Auslandvertretung angab, er habe keine Kinder bzw. zweimal die dahingehende Frage mit "No" beantwortete (vgl. Formulare "Interview" und "Additional questions to Visa Application" je vom 3. Mai 2017 [SEM act. 3/37 und 34]). Damit ist es dem SEM nicht vorzuwerfen, wenn es dazu keine Ausführungen machte. Dass die Vorinstanz nicht auf die Zugehörigkeit des Gesuchstellers zum Volk der Massai und der damit gemäss Beschwerdeführerin äusserst starken Verwurzelung mit dem eigenen Land einging, ist dahingehend zu deuten, dass es dem diesbezüglichen Vorbringen keine Rechtserheblichkeit zusprach. Im Übrigen war es der Beschwerdeführerin möglich, wirksam und sachgerecht Beschwerde zu führen. Die Rüge einer Verletzung des Anspruchs auf rechtliches Gehör läuft damit ins Leere. Abschliessend gilt es darauf hinzuweisen, dass die kantonale Migrationsbehörde lediglich im Auftrag des SEM weitere Abklärungen bei der Beschwerdeführerin tätigte und nicht als Entscheidsträger fungierte (vgl. SEM act. 4). Damit ist nicht darauf einzugehen ist, ob die kantonale Behörde rechtserhebliche Akten nicht berücksichtigt habe.</w:t>
      </w:r>
    </w:p>
    <w:p>
      <w:r>
        <w:rPr>
          <w:b/>
        </w:rPr>
        <w:t>E. 3.4</w:t>
      </w:r>
    </w:p>
    <w:p>
      <w:r>
        <w:t>Nicht auszugehen ist in casu auch von einer unrichtigen oder unvollständigen Sachverhaltsfeststellung durch die Vorinstanz (vgl. im Allgemeinen Urteil des BVGer F-996/2016 vom 13. März 2017 E. 3.2.1). Entgegen den Ausführungen der Beschwerdeführerin erweist sich die Feststellung des SEM, es sei bereits am 30. November 2015 ein Visumantrag des Gesuchstellers abgelehnt worden, als korrekt. Dies ergibt sich aus einem Eintrag im nationalen Visumsystem ORBIS (Gesuch verweigert durch Embassy of Switzerland, Nairobi [BVGer act. 8]). Daran ändert auch der Umstand nichts, dass die Beschwerdeführerin ihren damaligen Anwalt beauftragt habe, eine dagegen gerichtete Beschwerde (recte: Einsprache) zurückzuziehen. Im Übrigen erklärte auch die Beschwerdeführerin in einer E-Mail vom 29. März 2017 an die Schweizerische Botschaft selbst, ihr Gast habe bereits im November 2015 ein Gesuch um Ausstellung eines Schengen-Visums gestellt, aber es sei abgelehnt worden ("it was refused"; vgl. SEM act. 3/28). Ob die Vorinstanz hingegen in ihrer Verfügung gestützt auf den Sachverhalt die richtige Gewichtung vornahm, ist eine Frage, die im Rahmen der nachfolgenden materiell-rechtlichen Prüfung zu beantworten ist.</w:t>
      </w:r>
    </w:p>
    <w:p>
      <w:r>
        <w:rPr>
          <w:b/>
        </w:rPr>
        <w:t>E. 4</w:t>
      </w:r>
    </w:p>
    <w:p>
      <w:r>
        <w:t>Der angefochtenen Verfügung liegt das Gesuch eines kenianischen Staatsangehörigen um Erteilung eines Visums für einen 23-tägigen Besuchsaufenthalt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geändert durch Verordnung (EU) 2017/458, ABl. L 74 vom 18.03.2017; kodifizierter Text], Art. 4 Abs. 1 VEV).</w:t>
      </w:r>
    </w:p>
    <w:p>
      <w:r>
        <w:rPr>
          <w:b/>
        </w:rPr>
        <w:t>E. 5.3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seiner Staatszugehörigkeit unterliegt der Gesuchsteller der Visumspflicht (vgl. Anhang I zur Verordnung [EG] Nr. 539/2001 [ABl. L 81 vom 21.03.2001; zum vollständigen Quellennachweis vgl. Fussnote zu Art. 4 Abs. 1 VEV]). Bei der Prüfung der Einreisevoraussetzungen nach Art. 6 Abs. 1 SGK ist die Frage der gesicherten Wiederausreise zentral. Zur Einschätzung entsprechender Risiken sind sämtliche Umstände des konkreten Einzelfalles zu würdigen.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6.2</w:t>
      </w:r>
    </w:p>
    <w:p>
      <w:r>
        <w:t>Kenia kann zwar als regional stärkste Wirtschaftsnation in Ostafrika seit der Jahrtausendwende deutliche wirtschaftliche Fortschritte verzeichnen. Das Bruttoinlandsprodukt (BIP) wuchs 2015 auf 63,4 Milliarden US-Dollar und wird für 2016 auf 69,2 Milliarden US-dollar prognostiziert. Kenia ist bereits seit 2014 mit einem geschätzten Pro-Kopf-Einkommen von 1434 US-Dollar (2015) als "Middle Income Country" klassifiziert. Kenias Vorzüge sind seine strategische Lage in der Region und eine liberale Wirtschaftsordnung mit einem starken Privatsektor. Das Wirtschaftswachstum der letzten Jahre liegt relativ konstant bei 5 bis 6 Prozent. Der Anteil der Staatsverschuldung am Bruttoinlandprodukt (BIB) erhöhte sich aber Mitte 2015 auf rund 50 Prozent. Verglichen mit den Ländern südlich der Sahara steht Kenia zwar nicht schlecht da, die Rahmenbedingungen müssen aber nach wie vor verbessert werden. So leben knapp 50 Prozent der Bevölkerung unterhalb der Armutsgrenze. Etwa ein Drittel der Kenianer muss mit weniger als 1,90 US-Dollar pro Tag auskommen. Kenia ist ein Land mit äusserst starker sozialer und regionaler Ungleichverteilung von Einkommen. 2015 lebten in Kenias Städten 56% der Einwohner in Slums. Die offizielle Arbeitslosenquote beträgt etwa 10%. Auch das Gesundheitssystem in Kenia steht vor einer enormen Herausforderung. Trotz der kostenfreien Basisgesundheitsdienste sind Krankheitskosten für den Grossteil der kenianischen Bevölkerung mit dem Risiko des finanziellen Ruins verbunden. Nur etwa 20% der Bevölkerung sind für den Krankheitsfall abgesichert (Quellen: www.auswaertiges-amt.de Aussen- und Europapolitik Länderinformationen Kenia Wirtschaft, Stand: Januar 2017 sowie www.bmz.de Länder Afrika südlich der Sahara Kenia Zusammenarbeit Gesundheit, abgerufen je im November 2017).</w:t>
      </w:r>
    </w:p>
    <w:p>
      <w:r>
        <w:rPr>
          <w:b/>
        </w:rPr>
        <w:t>E. 6.3</w:t>
      </w:r>
    </w:p>
    <w:p>
      <w:r>
        <w:t>In Anbetracht dieser Umstände ist nicht zu beanstanden, wenn die Vor-instanz das Risiko einer nicht fristgerechten Wiederausreise mit Bezug auf gesuchstellende Personen aus Kenia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7.1</w:t>
      </w:r>
    </w:p>
    <w:p>
      <w:r>
        <w:t>Beim Gesuchsteller handelt es sich um einen 40-jährigen verwitweten Mann. Sein Vater sei vor einigen Jahren gestorben, weswegen er seine Familie, welche 15 Familienmitglieder umfasse, unterhalte. Sein kleiner Bruder studiere Medizin in Mombasa, der Rest der Familie lebe in der Massai Mara (vgl. auch Sachverhalt Bst. G). Unklar bleibt, ob der Beschwerdeführer tatsächlich Vater eines Sohnes ist. Entgegen den entsprechenden Vorbringen der Beschwerdeführerin hat er selbst anlässlich seiner Gesuchseinreichung mehrmals schriftlich erklärt, er habe keine Kinder (vgl. Formulare "Interview" und "Additional questions to Visa Application" je vom 3. Mai 2017 [SEM act. 3/37 und 34]). Unabhängig davon scheinen die Verpflichtungen des Beschwerdeführers gegenüber seinen Familienmitglieder vor allem finanzieller Art zu sein und erfordern daher nicht zwingend seine Präsenz im Heimatland. Im Gegenteil könnte er seine in Kenia lebenden Angehörigen aus dem Ausland - einmal dort wirtschaftlich Fuss gefasst -noch besser unterstützen. Ein besonderes Augenmerk ist damit auf die wirtschaftliche Situation des Gesuchstellers in Kenia zu richten.</w:t>
      </w:r>
    </w:p>
    <w:p>
      <w:r>
        <w:rPr>
          <w:b/>
        </w:rPr>
        <w:t>E. 7.2</w:t>
      </w:r>
    </w:p>
    <w:p>
      <w:r>
        <w:t>Die Beschwerdeführerin führt dazu rechtsmittelweise aus, ihr Gast arbeite seit 7 Jahren im Hotel T._______ und geniesse dort einen ausserordentlichen Ruf. Er sei dort bereits 2 Jahre während der Bauphase eingestellt worden und arbeite nun in einem festen Arbeitsverhältnis seit 5 Jahren als "Security Guard". Eine entsprechende Bestätigung des Arbeitgebers vom 4. April 2017 mit Angabe des Arbeitsbeginns per 1. Juni 2012 liegt den Akten bei (SEM act. 3/27). Letztes Jahr sei er zum Supervisor und gerade eben zum Manager befördert worden. Die Löhnerhöhung stehe noch aus, aber sie sei ihm bereits versprochen worden. Als Supervisor verdiene er KES 25'000.-, was ungefähr EUR 250.- entspreche. Es sei klar, dass dies für unsere Verhältnisse ein geringer Lohn sei, aber das Leben in Kenia sei nicht teuer und KES 25'000.- seien ein guter, durchschnittlicher Lohn. Die Massai seien Selbstversorger, hätten viele Tiere und auch das Gemüse sei selbst angepflanzt, also sei Bargeld kein zentraler Faktor. Der Gesuchsteller habe vor einigen Jahren ein eigenes Haus gebaut und lebe dort mit seinem Sohn, wenn er in den Ferien nach Hause gehe. Der Rest der Familie lebe in typischen Massai-Hütten, jedoch habe jede Familie ein eigenes Haus. Er habe auf einer Hütte sogar eine Solarzelle angebracht, damit Strom für alle vorhanden sei. Weiter sind den Akten zwei Lohnbelege für die Monate Februar und März dieses Jahres und ein Bankauszug des Gesuchstellers betreffend die Periode vom 1. März 2016 bis 31. März 2017 zu entnehmen (SEM act. 3/19ff.). Gesamthaft gesehen kann zwar von einem für kenianische Verhältnisse durchschnittlichen Einkommen ausgegangen werden (vgl. dazu auch www.bmz.de Länder Afrika südlich der Sahara Kenia Informationen zum Land Wirtschaft, abgerufen im November 2017). Allerdings ist dem eingereichten Bankauszug zu entnehmen, dass die Lohnzahlungen - soweit aus dem Dokument ersichtlich - nicht in monatlich regelmässigen Abständen erfolgen. Auch variiert die Höhe des Lohnes erheblich. Weiter gilt es zu bedenken, dass der Gesuchsteller gemäss beschwerdeweisen Ausführungen seine Familie mit 15 Familienmitglieder unterhalte bzw. ihm sogar eine über das übliche Mass hinausgehende Verpflichtung obliege, seine Familie zu versorgen. Zwar macht die Gastgeberin geltend, für die Familie stelle Bargeld als Massai keinen zentralen Faktor dar (vgl. Beschwerde vom 14. August 2017), hingegen ist nicht davon auszugehen, es entstünden den Mitglieder der Grossfamilie keinerlei finanzielle Ausgaben (vgl. bspw. Ausführungen zu den kenianischen Gesundheitskosten E. 6.2 in fine). Überdies studiere der kleine Bruder des Gesuchstellers Medizin in Mombasa. Auch dies ein Kostenpunkt. Damit sind die Ausführungen zur finanziellen Situation des Gesuchstellers erheblich zu relativieren und es kann nicht davon ausgegangen werden, er lebe in sicheren wirtschaftlichen Verhältnissen.</w:t>
      </w:r>
    </w:p>
    <w:p>
      <w:r>
        <w:rPr>
          <w:b/>
        </w:rPr>
        <w:t>E. 8.1</w:t>
      </w:r>
    </w:p>
    <w:p>
      <w:r>
        <w:t>Vor dem dargelegten allgemeinen und persönlichen Hintergrund durfte die Vorinstanz davon ausgehen, dass keine hinreichende Gewähr für eine fristgerechte und anstandslose Wiederausreise des Gesuchstellers nach einem Besuchsaufenthalt besteht. Der Wunsch der Gastgeberin, sich beim Gesuchsteller für seine Gastfreundschaft zu revanchieren, ist verständlich, kann aber vorliegend nicht ausschlaggebend sein. Sofern die Beschwerdeführerin erklärt, ihr Gast sei als Massai äusserst stark mit dem Land verwurzelt; der Wunsch die Familie und das Land hinter sich zu lassen würde bei diesem Volk in keiner Weise aufkommen, so versteht es sich von selbst, dass sich aus der blossen Zugehörigkeit des Gesuchstellers zum Volke der Massai keinerlei Garantie für eine fristgerechte Wiederausreise ableiten lässt. Eine Garantie für ein bestimmtes Verhalten des Gastes kann auch - mangels rechtlicher und faktischer Durchsetzbarkeit - die Beschwerdeführerin nicht leisten (vgl. BVGE 2009/27 E. 9), selbst wenn vorliegend nicht an ihren guten Absichten und ihrer Integrität gezweifelt wird.</w:t>
      </w:r>
    </w:p>
    <w:p>
      <w:r>
        <w:rPr>
          <w:b/>
        </w:rPr>
        <w:t>E. 8.2</w:t>
      </w:r>
    </w:p>
    <w:p>
      <w:r>
        <w:t>Ist die Wiederausreise solchermassen nicht als gesichert zu betrachten, darf nach dem bereits Gesagten ein Visum für den gesamten Schengen-Raum nicht erteilt werden. Die Beschwerdeführerin macht sodann keine - z.B. humanitären - Gründe für die Erteilung eines Visums mit räumlich beschränkter Gültigkeit geltend; solche Gründe sind auch aus den Akten nicht ersichtlich.</w:t>
      </w:r>
    </w:p>
    <w:p>
      <w:r>
        <w:rPr>
          <w:b/>
        </w:rPr>
        <w:t>E. 9</w:t>
      </w:r>
    </w:p>
    <w:p>
      <w:r>
        <w:t>Vor dem allgemeinen und persönlichen Hintergrund konnte die Vorinstanz demnach willkürfrei davon ausgehen, dass keine hinreichende Gewähr für die fristgerechte und anstandslose Wiederausreise des Gesuchstellers nach einem Besuchsaufenthalt besteht. Ein sog. einheitliches Visum für den ganzen Schengen-Raum wurde zu Recht verweigert.</w:t>
      </w:r>
    </w:p>
    <w:p>
      <w:r>
        <w:rPr>
          <w:b/>
        </w:rPr>
        <w:t>E. 10</w:t>
      </w:r>
    </w:p>
    <w:p>
      <w:r>
        <w:t>Entsprechend dem Ausgang des Verfahrens sind die Kosten der Beschwerdeführerin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