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F-4503/2020 vom 18. September 2020</w:t>
      </w:r>
    </w:p>
    <w:p>
      <w:r>
        <w:t>Bundesverwaltungsgericht, 2020-09-18, FR</w:t>
      </w:r>
    </w:p>
    <w:p>
      <w:r>
        <w:rPr>
          <w:b/>
        </w:rPr>
        <w:t xml:space="preserve">Quelle: </w:t>
      </w:r>
      <w:r>
        <w:t>https://mcp.opencaselaw.ch/entscheid/bvger_F-4503_2020</w:t>
      </w:r>
    </w:p>
    <w:p>
      <w:r>
        <w:t>FR: TAF F-4503/2020 du 18 septembre 2020</w:t>
      </w:r>
    </w:p>
    <w:p>
      <w:r>
        <w:t>IT: TAF F-4503/2020 del 18 settembre 2020</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exceptions non réalisées en l'espèce (art. 33 let. d LTAF et 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Dans son mémoire, le recourant allègue que la décision de non-entrée en matière du SEM serait mal motivée, en particulier s'agissant des bases légales et réglementaires sous l'angle desquelles l'autorité inférieure aurait dû examiner son état de santé, se prévalant ainsi d'une violation du droit d'être entendu. S'agissant d'un grief d'ordre formel, il convient de l'examiner en premier lieu (cf. arrêt du Tribunal fédéral [ci-après : TF] 2C_360/2011 du 18 novembre 2011 consid. 2).</w:t>
      </w:r>
    </w:p>
    <w:p>
      <w:r>
        <w:rPr>
          <w:b/>
        </w:rPr>
        <w:t>E. 2.1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 arrêt du TF 2C_360/2011 précité consid. 2.1).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arrêt du TAF F-4618/2017 du 11 décembre 2019 consid. 4.2.3 et les réf. cit.).</w:t>
      </w:r>
    </w:p>
    <w:p>
      <w:r>
        <w:rPr>
          <w:b/>
        </w:rPr>
        <w:t>E. 2.2</w:t>
      </w:r>
    </w:p>
    <w:p>
      <w:r>
        <w:t>En l'espèce, le Tribunal constate que le SEM a, dans la décision querellée, pris en compte de manière circonstanciée l'état de santé du recourant dans le cadre de l'examen de l'application de l'art. 17 par. 1 du règlement Dublin III en lien avec l'art. 3 CEDH. En outre, le SEM a explicitement examiné la question de l'application de l'art. 29a al. 3 OA 1 (RS 142.311). Ainsi, le Tribunal estime que l'autorité inférieure, en constatant qu'elle ne décelait aucun motif suffisamment pertinent pour justifier l'application de cette dernière disposition, a, malgré une formulation manquant quelque peu de clarté et de systématique, dûment exposé avoir tenu compte de l'état de santé du recourant à cet égard et des autres facteurs entrant en ligne de compte dans le cadre de la présente affaire. Ainsi, il ressort clairement de la décision entreprise que le SEM a également pris en considération les allégations du recourant selon lesquelles il serait exposé à des difficultés particulières en cas de transfert en Pologne, dès lors qu'il était un ressortissant russe d'origine tchétchène et qu'une vaste diaspora tchétchène se trouvait dans ce pays qui, selon lui, serait hostile aux personnes homosexuelles. Or, la question de savoir si le SEM a tiré de cet état de faits les conséquences juridiques idoines ne relève pas des garanties découlant du droit d'être entendu mais du fond. On relèvera encore que le recourant a produit un mémoire circonstancié démontrant qu'il était sans autre en mesure de comprendre les motifs fondant la décision entreprise. Dans ces conditions, le grief de motivation insuffisante ne saurait être retenu en l'espèce.</w:t>
      </w:r>
    </w:p>
    <w:p>
      <w:r>
        <w:rPr>
          <w:b/>
        </w:rPr>
        <w:t>E. 3</w:t>
      </w:r>
    </w:p>
    <w:p>
      <w:r>
        <w:t>Le recourant - qui a produit en procédure de recours de la documentation médicale nouvelle de laquelle il ressort que des rendez-vous médicaux sont prévus en septembre (cf. consid. 3.3) - reproche également à l'autorité inférieure de ne pas avoir suffisamment pris en compte son état de santé et sa vulnérabilité particulière ainsi que de ne pas avoir analysé à suffisance sa situation et les éventuelles conséquences d'un transfert en Pologne. Ce faisant, il semble implicitement se plaindre d'une violation de la maxime inquisitoire, en ce sens que son état de santé et sa situation personnelle n'auraient pas été suffisamment éclaircis pour déterminer si son transfert vers ce pays était conforme au droit.</w:t>
      </w:r>
    </w:p>
    <w:p>
      <w:r>
        <w:rPr>
          <w:b/>
        </w:rPr>
        <w:t>E. 3.1</w:t>
      </w:r>
    </w:p>
    <w:p>
      <w:r>
        <w:t>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notamment des faits que ces dernières sont mieux à même de connaître que l'autorité (cf. arrêts du TAF F-2343/2019 du 22 mai 2019 et les réf. cit. ; D-5522/2018 du 5 octobre 2018 et les réf. cit.).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3.2</w:t>
      </w:r>
    </w:p>
    <w:p>
      <w:r>
        <w:t>Dans ce contexte, il convient de noter que, selon la jurisprudence, ce n'est que lorsque des conditions très restrictives sont remplies qu'un renvoi ne sera pas envisageable sous l'angle de l'art. 3 CEDH. Ainsi, conformément à la pratique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 disposition précitée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3.3</w:t>
      </w:r>
    </w:p>
    <w:p>
      <w:r>
        <w:t>In casu, le recourant souffre d'un trouble de stress post-traumatique (TSPT) et d'anxiété généralisée, affections pour lesquelles il a bénéficié d'une consultation au Centre de psychiatrie X._______ le 27 août 2020, à la suite de quoi un traitement médicamenteux lui a été prescrit (cf. dossier SEM pce 22). Selon ses dires, ces troubles résulteraient de sévices sexuels et de la torture qu'il a subis durant un emprisonnement de onze jours dans son pays d'origine. Cela étant, indépendamment de la question de savoir quelle est la cause de ces affections, il y a lieu de relever que l'intéressé n'a pas avancé avoir fait l'objet d'un suivi médical en Pologne ou en France, pays dans lequel il a vécu durant plus d'une année. Or, on voit mal que le recourant qui a pu se passer d'un soutien médical pendant une si longue période souffre effectivement d'une maladie psychique telle qu'il faille renoncer à un transfert en Pologne sur la base de la jurisprudence très restrictive mentionnée ci-avant. C'est donc à bon droit que le SEM a procédé à une appréciation anticipée des preuves (cf. également consid. 6.2 infra).</w:t>
      </w:r>
    </w:p>
    <w:p>
      <w:r>
        <w:rPr>
          <w:b/>
        </w:rPr>
        <w:t>E. 4</w:t>
      </w:r>
    </w:p>
    <w:p>
      <w:r>
        <w:t>Sur le plan matériel, le Tribunal retient ce qui suit.</w:t>
      </w:r>
    </w:p>
    <w:p>
      <w:r>
        <w:rPr>
          <w:b/>
        </w:rPr>
        <w:t>E. 4.1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w:t>
      </w:r>
    </w:p>
    <w:p>
      <w:r>
        <w:rPr>
          <w:b/>
        </w:rPr>
        <w:t>E. 4.2</w:t>
      </w:r>
    </w:p>
    <w:p>
      <w:r>
        <w:t>.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Dans une procédure de reprise en charge (anglais : take back), comme en l'espèce, il n'y a en principe aucun nouvel examen de la compétence selon le chapitre III (cf. ATAF 2017 VI/5 consid. 6.2 et 8.2.1, et réf. cit.). Conformément à l'art. 18 par. 1 let. c et par. 2 al. 2 du règlement Dublin III, l'Etat membre responsable de l'examen d'une demande de protection internationale en vertu dudit règlement est tenu de reprendre en charge - dans les conditions prévues aux art. 23, 24, 25 et 29 - le demandeur qui a retiré sa demande en cours d'examen et qui a présenté une demande dans un autre Etat membre, et de veiller à ce que le demandeur ait le droit de demander que l'examen de sa demande (examen qui avait été interrompu à la suite du retrait de la demande avant qu'une décision n'ait été prise sur le fond en première instance) soit mené à terme ou d'introduire une nouvelle demande de protection internationale dont l'examen doit être mené à terme (à savoir une demande qui ne soit pas considérée comme une demande ultérieure au sens de l'art. 40 de la directive 2013/32/UE du Parlement européen et du Conseil du 26 juin 2013 relative à des procédures communes pour l'octroi et le retrait de la protection internationale [refonte], JO L 180 du 29 juin 2013 p. 60 ss ; ci-après : directive Procédure).</w:t>
      </w:r>
    </w:p>
    <w:p>
      <w:r>
        <w:rPr>
          <w:b/>
        </w:rPr>
        <w:t>E. 4.4</w:t>
      </w:r>
    </w:p>
    <w:p>
      <w:r>
        <w:t>En l'espèce, les investigations entreprises par le SEM, à travers la consultation de l'unité centrale du système européen « Eurodac », ont révélé que le recourant avait déposé une demande d'asile en Pologne le 30 juillet 2019. Fondé sur ce qui précède, le SEM a soumis aux autorités polonaises compétentes, dans le délai fixé à l'art. 23 par. 2 du règlement Dublin III, une requête aux fins de reprise en charge, sur la base de l'art. 18 par. 1 let. b du règlement Dublin III. Le 31 août 2020, lesdites autorités ont expressément accepté de reprendre en charge l'intéressé, sur la base de l'art. 18 par. 1 let. c de ce même règlement. La Pologne a ainsi reconnu sa compétence pour traiter la demande d'asile de l'intéressé. Ce pays est donc en principe compétent pour traiter de la demande d'asile du recourant.</w:t>
      </w:r>
    </w:p>
    <w:p>
      <w:r>
        <w:rPr>
          <w:b/>
        </w:rPr>
        <w:t>E. 5</w:t>
      </w:r>
    </w:p>
    <w:p>
      <w:r>
        <w:t>En vertu de l'art. 3 par. 2 2ème phrase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5.1</w:t>
      </w:r>
    </w:p>
    <w:p>
      <w:r>
        <w:t>Il n'y a en l'espèce aucune raison sérieuse de croire qu'il existe, en Pologne, des défaillances systémiques dans la procédure d'asile et les conditions d'accueil des demandeurs, qui entraînent un risque de traitement inhumain ou dégradant au sens de l'art. 4 de la Charte UE, respectivement des art. 3 CEDH ou 3 CCT (RS 0.105). Ce pays est, en effet, lié à cette Charte et partie à la Convention du 28 juillet 1951 relative au statut des réfugiés (CR, RS 0.142.30), au Protocole additionnel du 31 janvier 1967 (PA/CR, RS 0.142.301), à la CEDH, ainsi qu'à la CCT et, à ce titre, en applique les dispositions. Dans ces conditions, la Pologne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Procédure et directive 2013/33/UE du Parlement européen et du Conseil du 26 juin 2013 établissant des normes pour l'accueil des personnes demandant la protection internationale [refonte]; JO L 180/96 du 29.6.2013 [ci-après : directive Accueil]).</w:t>
      </w:r>
    </w:p>
    <w:p>
      <w:r>
        <w:rPr>
          <w:b/>
        </w:rPr>
        <w:t>E. 5.2</w:t>
      </w:r>
    </w:p>
    <w:p>
      <w:r>
        <w:t>Dans ces conditions, l'application de l'art. 3 par. 2 2ème phrase du règlement Dublin III ne se justifie pas.</w:t>
      </w:r>
    </w:p>
    <w:p>
      <w:r>
        <w:rPr>
          <w:b/>
        </w:rPr>
        <w:t>E. 6</w:t>
      </w:r>
    </w:p>
    <w:p>
      <w:r>
        <w:t>Le recourant s'oppose cependant à son transfert vers la Pologne pour raisons médicales (cf. consid. 3.3 supra) et au titre qu'il craint d'y être victime de mauvais traitements. Le fait qu'une importante communauté tchétchène soit présente dans ce pays l'exposerait à des persécutions de la part de ses compatriotes en raison de son orientation sexuelle, étant précisé qu'il avait été identifié comme homosexuel par sa communauté. Il affirme en outre redouter une tentative d'enlèvement ou d'assassinat de la part du régime tchétchène. Il se prévaut à cet égard d'une violation de l'art. 17 par. 1 du règlement Dublin III en lien avec les art. 3 CEDH, 3 et 16 CCT ainsi qu'avec l'art. 29a al. 3 OA1.</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8.2.2; 2012/4 consid. 2.4. in fine, et réf. cit.).</w:t>
      </w:r>
    </w:p>
    <w:p>
      <w:r>
        <w:rPr>
          <w:b/>
        </w:rPr>
        <w:t>E. 6.2</w:t>
      </w:r>
    </w:p>
    <w:p>
      <w:r>
        <w:t>S'agissant de son état de santé, les problèmes psychiques dont souffre le recourant ne sont pas de nature à s'opposer à son transfert vers la Pologne, comme cela a été exposé à un autre endroit (cf. consid. 3 supra). En outre, rien ne permet de considérer que ces troubles ne puissent être traités dans ce dernier pays, qui dispose de structures médicales similaires à celles qui existent en Suisse (cf., parmi d'autres, arrêt du TAF F-3171/2018 du 8 juin 2018 p. 11). En tout état de cause, la Pologne reste liée par la directive Accueil et doit faire en sorte que les demandeurs d'asile reçoivent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Finalement, même si le recourant n'a jamais prétendu constituer un danger pour sa propre personne, il sied de rappeler la jurisprudence selon laquelle des menaces d'automutilation, voire de suicide d'une personne dont l'éloignement a été ordonné, n'astreignent pas l'État contractant à s'abstenir d'exécuter la mesure envisagée s'il prend des mesures concrètes pour en prévenir la réalisation (cf. arrêts F-3511/2019 du 15 janvier 2020 consid. 7.2 ; E-2703/2015 du 23 avril 2018 consid. 6.6). Aussi, si, contre toute attente, il devait résulter d'un examen médical avant le départ de l'intéressé qu'un accompagnement est nécessaire, il incombera aux autorités chargées de l'exécution du transfert de transmettre aux autorités polonaises les renseignements permettant une telle prise en charge (cf. art. 31 et 32 du règlement Dublin III).</w:t>
      </w:r>
    </w:p>
    <w:p>
      <w:r>
        <w:rPr>
          <w:b/>
        </w:rPr>
        <w:t>E. 6.3</w:t>
      </w:r>
    </w:p>
    <w:p>
      <w:r>
        <w:t>Quant aux craintes du recourant de subir de mauvais traitements en Pologne en raison de son homosexualité, il y a lieu de relever que les sévices subis par ce dernier ont pris place dans son pays d'origine et que l'intéressé n'a pas avancé avoir été soumis à des traitements inhumains ou dégradants lors de son séjour sur le sol polonais. S'agissant du risque qu'évoque le recourant d'être victime d'un enlèvement ou d'un assassinat par le régime tchétchène, il sied de constater que les cas auxquels se réfère l'intéressé à l'appui de son recours concernent des opposants politiques audit régime, ce que le recourant n'allègue pas être. Il n'apparaît donc pas qu'il soit particulièrement exposé à un tel risque ou que son transfert vers la Pologne lui ferait courir un danger imminent pour sa personne. Au demeurant, si le recourant devait se sentir menacé, notamment par des membres de la communauté tchétchène établie en Pologne, ou être victime de nouvelles persécutions en lien avec son orientation sexuelle, il lui sera possible de faire valoir ses droits directement auprès des autorités polonaises, en usant des voies de droit adéquates (cf. art. 26 directive Accueil).</w:t>
      </w:r>
    </w:p>
    <w:p>
      <w:r>
        <w:rPr>
          <w:b/>
        </w:rPr>
        <w:t>E. 6.4</w:t>
      </w:r>
    </w:p>
    <w:p>
      <w:r>
        <w:t>Au vu de ce qui précède, il s'ensuit que le transfert du recourant vers la Pologne n'apparaît pas contraire aux obligations de la Suisse découlant des dispositions conventionnelles auxquelles cette dernière est liée.</w:t>
      </w:r>
    </w:p>
    <w:p>
      <w:r>
        <w:rPr>
          <w:b/>
        </w:rPr>
        <w:t>E. 6.5</w:t>
      </w:r>
    </w:p>
    <w:p>
      <w:r>
        <w:t>En outre, le SEM a bien pris en compte les faits allégués par l'intéressé, susceptibles de constituer des raisons humanitaires au sens de l'art. 29a al. 3 OA 1, en lien avec l'art. 17 par. 1 RD III. L'autorité inférieure a exercé correctement son pouvoir d'appréciation, en examinant notamment s'il y avait lieu d'entrer en matière sur la demande du requérant pour des raisons humanitaires, et elle n'a pas fait preuve d'un abus dans son appréciation ni violé le principe de la proportionnalité ou de l'égalité de traitement (cf. également consid. 2.2 supra). A ce titre, le Tribunal rappelle qu'il ne peut plus, ensuite de l'abrogation de l'art. 106 al. 1 let. c LAsi entrée en vigueur le 1er février 2014, substituer son appréciation en opportunité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6.6</w:t>
      </w:r>
    </w:p>
    <w:p>
      <w:r>
        <w:t>Ainsi, c'est à juste titre que le SEM a retenu qu'il n'y avait pas lieu de faire application de la clause discrétionnaire de l'art. 17 par. 1 RD III.</w:t>
      </w:r>
    </w:p>
    <w:p>
      <w:r>
        <w:rPr>
          <w:b/>
        </w:rPr>
        <w:t>E. 7</w:t>
      </w:r>
    </w:p>
    <w:p>
      <w:r>
        <w:t>Dans ces conditions, c'est à bon droit que le SEM n'est pas entré en matière sur la demande d'asile de l'intéressé, en application de l'art. 31a al. 1 let. b LAsi, et qu'il a prononcé son transfert de Suisse vers la Pologne, en application de l'art. 44 LAsi, aucune exception à la règle générale du renvoi n'étant réalisée (art. 32 OA 1).</w:t>
      </w:r>
    </w:p>
    <w:p>
      <w:r>
        <w:rPr>
          <w:b/>
        </w:rPr>
        <w:t>E. 8</w:t>
      </w:r>
    </w:p>
    <w:p>
      <w:r>
        <w:t>Au vu de ce qui précède, le recours doit être rejeté. Se révélant manifestement infondé, celui-ci est rejeté dans une procédure à juge unique, avec l'approbation d'un second juge (art. 111 let. e LAsi). Il est dès lors renoncé à un échange d'écritures, le présent arrêt n'étant motivé que sommairement (cf. art. 111a al. 1 et 2 LAsi).</w:t>
      </w:r>
    </w:p>
    <w:p>
      <w:r>
        <w:rPr>
          <w:b/>
        </w:rPr>
        <w:t>E. 9</w:t>
      </w:r>
    </w:p>
    <w:p>
      <w:r>
        <w:t>La demande d'assistance judiciaire doit être rejetée, les conclusions prises s'avérant d'emblée dénuées de chances de succès (art. 65 PA). Cela étant,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