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F-4502/2022 vom 13. Oktober 2022</w:t>
      </w:r>
    </w:p>
    <w:p>
      <w:r>
        <w:t>Bundesverwaltungsgericht, 2022-10-13, DE</w:t>
      </w:r>
    </w:p>
    <w:p>
      <w:r>
        <w:rPr>
          <w:b/>
        </w:rPr>
        <w:t xml:space="preserve">Quelle: </w:t>
      </w:r>
      <w:r>
        <w:t>https://mcp.opencaselaw.ch/entscheid/bvger_F-4502_2022</w:t>
      </w:r>
    </w:p>
    <w:p>
      <w:r>
        <w:t>FR: TAF F-4502/2022 du 13 octobre 2022</w:t>
      </w:r>
    </w:p>
    <w:p>
      <w:r>
        <w:t>IT: TAF F-4502/2022 del 13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 Vorliegend steht ausser Frage, dass der Beschwerdeführer am 18. Juni 2022 in Italien illegal in das Hoheitsgebiet der Dublin-Staaten eingereist ist. Nachdem die italienischen Behörden das vom SEM gestützt auf Art. 13 Abs. 1 Dublin-III-VO gestellte Gesuch vom 27. Juli 2022 um Übernahme innert Frist (27. September 2022) nicht beantwortet haben, ist die Zuständigkeit Italiens grundsätzlich gegeben. Denn die Verpflichtung zur Aufnahme geht auch dann an den ersuchten Mitgliedstaat über, wenn dieser innert Frist nicht geantwortet hat (vgl. Art. 22 Abs. 7 Dublin-III-VO).</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und E-962/2019 vom 17. Dezember 2019 E. 6.3). An dieser Rechtsprechung ist - entgegen der Einschätzung der Schweizerischen Flüchtlingshilfe in deren Bericht vom 10. Juni 2021 - festzuhalten. Zudem sind die diesbezüglichen Vorbringen in der Rechtsmitteleingabe (er habe unter miserablen Zuständen leben müssen [u.a. keine Versorgung mit Nahrung und Trinkwasser]; auf seine medizinischen Probleme sei nicht eingegangen worden) schon deshalb nicht relevant, weil der Beschwerdeführer in Italien noch gar kein Asylgesuch eingereicht hat und somit auch nicht in den Genuss der für ihn vorgesehenen Asylstrukturen kommen konnte. Für eine Anwendung von Art. 3 Abs. 2 Dublin-III-VO besteht daher kein Anlass.</w:t>
      </w:r>
    </w:p>
    <w:p>
      <w:r>
        <w:rPr>
          <w:b/>
        </w:rPr>
        <w:t>E. 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6</w:t>
      </w:r>
    </w:p>
    <w:p>
      <w:r>
        <w:t>Der Beschwerdeführer macht in seiner Rechtsmitteleingabe - nebst den aus seiner Sicht ungenügenden Aufnahmebedingungen in Italien - im Wesentlichen geltend, er sei psychisch schwer angeschlagen und befinde sich bei einem Psychiater in psychologischer und psychotherapeutischer Behandlung. Es bestünden klare Anzeichen, dass er unter posttraumatischen Belastungsstörungen sowie weiteren psychischen Beschwerden leide. Zu seinen Erlebnissen in Italien sei er nicht eingehend befragt worden. Ebenso wenig sei sein Gesundheitszustand genauer abgeklärt worden. Die Vorinstanz sei damit ihren Untersuchungspflichten nicht nachgekommen, bzw. sein Anspruch auf rechtliches Gehör sei verletzt worden. Bei einer Überstellung sei eine kurzfristige Verschlechterung seines Gesundheitszustandes zu befürchten. Es sei notwendig, dass er eine nahtlose medizinische Versorgung erfahre, welche durch die Überstellung gefährdet sei. Die Vorinstanz hätte für die Unterbringung und medizinische Versorgung eine Garantie von Italien einholen müssen. Ferner hätte sie abklären und darlegen müssen, wie der Beschwerdeführer als vulnerable Person unter Ausschluss jeglicher Gefährdung nach Italien überstellt werden könne. Indem sie dies nicht getan habe, habe sie auch nicht einschätzen können, welche Auswirkungen eine Überstellung nach Italien auf seinen Gesundheitszustand habe und ob er nicht in eine existenzielle Notlage geraten würde. Die Anwendung der Souveränitätsklausel (Selbsteintritt aus humanitären Gründen) wäre somit mutmasslich angezeigt und gerechtfertigt gewesen.</w:t>
      </w:r>
    </w:p>
    <w:p>
      <w:r>
        <w:rPr>
          <w:b/>
        </w:rPr>
        <w:t>E. 7.1</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7.2</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7.3</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Urteile des BVGer F-4471/2021 vom 4. Mai 2022 E. 6.4 und F-2431/2022 vom 14. Juni 2022 E. 11.5).</w:t>
      </w:r>
    </w:p>
    <w:p>
      <w:r>
        <w:rPr>
          <w:b/>
        </w:rPr>
        <w:t>E. 7.4</w:t>
      </w:r>
    </w:p>
    <w:p>
      <w:r>
        <w:t>Aufgrund der Aktenlage ist davon auszugehen, dass der Beschwerdeführer an einer psychischen Erkrankung leidet und auf medizinische Behandlung angewiesen ist. Der Beschwerdeführer hat in Italien noch kein Asylgesuch gestellt. Er befindet sich damit in einer "take charge"-Konstellation im Sinne der oben dargelegten Rechtsprechung, die unabhängig von seinem Gesundheitszustand und entgegen seinen Vorbringen in der Rechtsmitteleingabe weder die Einholung entsprechender Zusicherungen und noch weniger den Selbsteintritt erfordert. Daher kann offen bleiben, ob es sich bei ihm um eine vulnerable Person handelt. Es gibt im Übrigen keinen Hinweis darauf, dass Italien dem Beschwerdeführer die notwendige medizinische Hilfe verweigern könnte. Zudem würde er gegebenenfalls als vulnerable Person Vorrang bei der Überstellung von einem Erst- in ein Zweitaufnahmezentrum SAI geniessen. Im SAI sind die Dienstleistungen auf schutzbedürftige Personen ausgerichtet und beinhalten insbesondere soziale und psychologische Betreuung sowie eine Gesundheitsversorgung. Selbst bei einer vorübergehenden Unterbringung im Erstaufnahmezentrum stehen ihnen die notwendigen Dienstleistungen zur Verfügung. Ferner ist Italien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In dieser Situation kann der Vorinstanz auch nicht vorgehalten werden, dass sie den psychischen Gesundheitszustand des Beschwerdeführers nicht näher abgeklärt hat. Sie war dazu mangels rechtlicher Relevanz des Sachverhaltes nicht verpflichtet. Denn wie ernsthaft die psychische Erkrankung des Beschwerdeführers ist und welche Behandlung dazu notwendig wäre, ist nach dem eben Gesagten nicht erheblich (vgl. auch Urteil des BVGer F-2876/2002 vom 7. Juli 2022 E. 6.5). Mit dem angefochtenen Entscheid hat die Vorinstanz weder das rechtliche Gehör noch den Untersuchungsgrundsatz verletzt, weshalb eine Rückweisung der Sache nicht geboten ist. Für die Ansetzung einer Frist zur Nachreichung eines Arztberichts und Ergänzung der Beschwerde besteht schon deswegen keine Veranlassung, weil die Voraussetzungen von Art. 53 VwVG nicht erfüllt sind. Es ist demnach nicht anzunehmen, dass im Falle einer Rückführung nach Italien das reale Risiko einer ernsten, raschen und unwiederbringlichen Verschlechterung des Gesundheitszustands des Beschwerdeführers besteht, die zu intensivem Leiden oder einer erheblichen Verkürzung der Lebenserwartung führen würde. Im Übrigen ist die Vorinstanz gehalten, die italienischen Behörden vor der Überstellung des Beschwerdeführers über seinen Gesundheitszustand und allfällige notwendige Behandlungen zu informieren (vgl. Art. 31 und 32 Dublin-III-VO). Es ist somit nicht davon auszugehen, dass eine Überstellung des Beschwerdeführers nach Italien eine Verletzung von Art. 3 EMRK nach sich ziehen würde. 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und die Überstellung nach Italien angeordnet.</w:t>
      </w:r>
    </w:p>
    <w:p>
      <w:r>
        <w:rPr>
          <w:b/>
        </w:rPr>
        <w:t>E. 8</w:t>
      </w:r>
    </w:p>
    <w:p>
      <w:r>
        <w:t>Nach dem Gesagten ist die Beschwerde abzuweisen, und mit dem Urteil in der Sache wird das Gesuch um Erteilung der aufschiebenden Wirkung gegenstandslos. Der angeordnete Vollzugsstopp fällt mit vorliegendem Urteil dahin.</w:t>
      </w:r>
    </w:p>
    <w:p>
      <w:r>
        <w:rPr>
          <w:b/>
        </w:rPr>
        <w:t>E. 9.1</w:t>
      </w:r>
    </w:p>
    <w:p>
      <w:r>
        <w:t>Die Begehren erweisen sich als aussichtslos, weshalb das Gesuch um Gewährung der unentgeltlichen Rechtspflege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