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F-44/2021 vom 13. Januar 2021</w:t>
      </w:r>
    </w:p>
    <w:p>
      <w:r>
        <w:t>Bundesverwaltungsgericht, 2021-01-13, DE</w:t>
      </w:r>
    </w:p>
    <w:p>
      <w:r>
        <w:rPr>
          <w:b/>
        </w:rPr>
        <w:t xml:space="preserve">Quelle: </w:t>
      </w:r>
      <w:r>
        <w:t>https://mcp.opencaselaw.ch/entscheid/bvger_F-44_2021</w:t>
      </w:r>
    </w:p>
    <w:p>
      <w:r>
        <w:t>FR: TAF F-44/2021 du 13 janvier 2021</w:t>
      </w:r>
    </w:p>
    <w:p>
      <w:r>
        <w:t>IT: TAF F-44/2021 del 13 gennaio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stellt subeventualiter Antrag auf Rückweisung der Angelegenheit an die Vorinstanz wegen Verletzung seines Anspruchs auf rechtliches Gehör. Er unterlässt es aber, irgendwelche Ausführungen dazu anzubringen und entsprechende Mängel sind in den Akten der Vorinstanz auch nicht erkennbar. Die verfahrensrechtliche Rüge erweist sich solchermassen als unbegründet.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23 -25 Dublin-III-VO) findet grundsätzlich keine (neue) Zuständigkeitsprüfung nach Kapitel III Dublin-III-VO mehr statt (vgl. zum Ganzen BVGE 2017 VI/5 E. 6.2 und 8.2.1).</w:t>
      </w:r>
    </w:p>
    <w:p>
      <w:r>
        <w:rPr>
          <w:b/>
        </w:rPr>
        <w:t>E. 4.3</w:t>
      </w:r>
    </w:p>
    <w:p>
      <w:r>
        <w:t>Wie bereits erwähnt wurde der Beschwerdeführer gemäss den Einträgen in der Eurodac-Datenbank vor seiner Weiterreise in die Schweiz am 23. Oktober 2020 in Österreich als Asylgesuchsteller erfasst. Das Wiederaufnahmegesuch der Vorinstanz hiessen die österreichischen Behörden innert der in Art. 25 Abs. 1 Dublin-III-VO festgelegten Frist gut. Die grundsätzliche Zuständigkeit Österreichs zur Durchführung des Asyl- und Wegweisungsverfahrens ist somit gegeben. Diese ist vom Beschwerdeführer nicht schon mit der blossen Behauptung in Frage zu stellen, in Wirklichkeit in Österreich kein Asylgesuch gestellt zu haben.</w:t>
      </w:r>
    </w:p>
    <w:p>
      <w:r>
        <w:rPr>
          <w:b/>
        </w:rPr>
        <w:t>E. 5</w:t>
      </w:r>
    </w:p>
    <w:p>
      <w:r>
        <w:t>Das Bundesverwaltungsgericht hat keinen Grund zur Annahme, das Asylverfahren und die Aufnahmebedingungen in Österreich wiesen für Personen in der Situation des Beschwerdeführers systemische Mängel im Sinne von Art. 3 Abs. 2 Sätze 2 und 3 Dublin-III-VO auf (vgl. dazu anstelle vieler Urteil des BVGer F-4030/2020 vom 18. August 2020 E. 4.3 und E. 4.4). Etwas Anderes wird vom Beschwerdeführer auch nicht geltend gemacht. Folglich bestand für die Vorinstanz kein Anlass zur Übernahme der Zuständigkeit gestützt auf die genannte Bestimmung.</w:t>
      </w:r>
    </w:p>
    <w:p>
      <w:r>
        <w:rPr>
          <w:b/>
        </w:rPr>
        <w:t>E. 6</w:t>
      </w:r>
    </w:p>
    <w:p>
      <w:r>
        <w:t>Bleibt zu prüfen, ob die Vorinstanz trotz der grundsätzlichen Zuständigkeit Österreichs das Selbsteintrittsrecht nach Art. 17 Abs. 1 erster Satz Dublin-III-VO, konkretisiert in Art. 29a Abs. 3 AsylV 1, hätte ausüben müssen.</w:t>
      </w:r>
    </w:p>
    <w:p>
      <w:r>
        <w:rPr>
          <w:b/>
        </w:rPr>
        <w:t>E. 6.1</w:t>
      </w:r>
    </w:p>
    <w:p>
      <w:r>
        <w:t>Österreich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w:t>
      </w:r>
    </w:p>
    <w:p>
      <w:r>
        <w:rPr>
          <w:b/>
        </w:rPr>
        <w:t>E. 6.2</w:t>
      </w:r>
    </w:p>
    <w:p>
      <w:r>
        <w:t>Auch ist anzunehmen,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6.3</w:t>
      </w:r>
    </w:p>
    <w:p>
      <w:r>
        <w:t>Der Beschwerdeführer hat kein konkretes und ernsthaftes Risiko dafür dargetan, dass sich Österreich im Falle einer Überstellung weigern könnte, ihn wieder aufzunehmen und seinen Antrag auf internationalen Schutz unter Einhaltung der Regeln der Verfahrensrichtlinie zu prüfen. Den Akten sind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Österreich seien derart schlecht, dass sie zu einer Verletzung von Art. 4 der EU-Grundrechtecharta, Art. 3 EMRK oder Art. 3 FoK führen könnten. Die Überstellung des Beschwerdeführers nach Österreich führt auch nicht zu einer Kettenabschiebung, welche gegen das Non-Refoulement-Prinzip verstossen würde, wie es in Art. 33 FK verankert ist (und sich ausserdem aus Art. 4 der EU-Grundrechtecharta, Art. 3 EMRK oder Art. 3 FoK ableiten lässt).</w:t>
      </w:r>
    </w:p>
    <w:p>
      <w:r>
        <w:rPr>
          <w:b/>
        </w:rPr>
        <w:t>E. 6.4</w:t>
      </w:r>
    </w:p>
    <w:p>
      <w:r>
        <w:t>Was die vom Beschwerdeführer vorgebrachten gesundheitlichen Beeinträchtigungen betrifft, so ist zum einen festzustellen, dass diese weder einzeln noch in ihrer Gesamtheit ernsthaften Charakters sind. Zum anderen behauptet der Beschwerdeführer zu Recht nicht, dass Österreich ihm gegenüber seine sich aus der Aufnahmerichtlinie ergebenden Ansprüche auf Zugang zur erforderlichen medizinischen Grundversorgung verweigern könnte.</w:t>
      </w:r>
    </w:p>
    <w:p>
      <w:r>
        <w:rPr>
          <w:b/>
        </w:rPr>
        <w:t>E. 6.5</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7</w:t>
      </w:r>
    </w:p>
    <w:p>
      <w:r>
        <w:t>Die Vorinstanz ist demnach zu Recht gestützt auf Art. 31a Abs. 1 Bst. b AsylG auf das Asylgesuch des Beschwerdeführers nicht eingetreten und hat in Anwendung von Art. 44 AsylG die Überstellung nach Österreich angeordnet. Unter diesen Umständen sind allfällige Vollzugshindernisse gemäss Art. 83 Abs. 3 und 4 AIG (SR 142.20) nicht mehr zu prüfen, da das Fehlen von Überstellungshindernissen bereits Voraussetzung des Nichteintretensentscheides gemäss Art. 31a Abs. 1 Bst. b AsylG ist (vgl. BVGE 2015/18 E. 5.2 m.w.H.).</w:t>
      </w:r>
    </w:p>
    <w:p>
      <w:r>
        <w:rPr>
          <w:b/>
        </w:rPr>
        <w:t>E. 8</w:t>
      </w:r>
    </w:p>
    <w:p>
      <w:r>
        <w:t>Die Beschwerde ist aus den dargelegten Gründen abzuweisen und die Verfügung der Vorinstanz ist zu bestätigen.</w:t>
      </w:r>
    </w:p>
    <w:p>
      <w:r>
        <w:rPr>
          <w:b/>
        </w:rPr>
        <w:t>E. 8.1</w:t>
      </w:r>
    </w:p>
    <w:p>
      <w:r>
        <w:t>Mit dem vorliegenden Urteil fällt der am 6. Januar 2021 angeordnete Vollzugsstopp dahin. Das Gesuch um Erteilung der aufschiebenden Wirkung ist gegenstandslos geworden.</w:t>
      </w:r>
    </w:p>
    <w:p>
      <w:r>
        <w:rPr>
          <w:b/>
        </w:rPr>
        <w:t>E. 8.2</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