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F-4494/2021 vom 19. Oktober 2021</w:t>
      </w:r>
    </w:p>
    <w:p>
      <w:r>
        <w:t>Bundesverwaltungsgericht, 2021-10-19, FR</w:t>
      </w:r>
    </w:p>
    <w:p>
      <w:r>
        <w:rPr>
          <w:b/>
        </w:rPr>
        <w:t xml:space="preserve">Quelle: </w:t>
      </w:r>
      <w:r>
        <w:t>https://mcp.opencaselaw.ch/entscheid/bvger_F-4494_2021</w:t>
      </w:r>
    </w:p>
    <w:p>
      <w:r>
        <w:t>FR: TAF F-4494/2021 du 19 octobre 2021</w:t>
      </w:r>
    </w:p>
    <w:p>
      <w:r>
        <w:t>IT: TAF F-4494/2021 del 19 ottobre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 cit.).</w:t>
      </w:r>
    </w:p>
    <w:p>
      <w:r>
        <w:rPr>
          <w:b/>
        </w:rPr>
        <w:t>E. 4.3</w:t>
      </w:r>
    </w:p>
    <w:p>
      <w:r>
        <w:t>L'Etat responsable de l'examen d'une demande de protection internationale en vertu du règlement Dublin III est tenu de prendre en charge le demandeur qui a introduit une demande dans un autre Etat membre ou, de reprendre en charge le demandeur dont la demande est en cours d'examen et qui a présenté une demande auprès d'un autre Etat membre ou qui se trouve, sans en avoir reçu la permission, sur le territoire d'un autre Etat membre (art. 18 par. 1 point a et b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de l'ordonnance 1 sur l'asile du 11 août 1999 (OA 1, RS 142.311 ; cf. à ce sujet les ATAF 2015/9 consid. 8.2.2 et 2012/4 consid. 2.4 in fine et réf. cit.).</w:t>
      </w:r>
    </w:p>
    <w:p>
      <w:r>
        <w:rPr>
          <w:b/>
        </w:rPr>
        <w:t>E. 5</w:t>
      </w:r>
    </w:p>
    <w:p>
      <w:r>
        <w:t>Dans le cas particulier, les investigations entreprises par le SEM ont révélé, après consultation de l'unité centrale du système européen « Eurodac », que le recourant avait franchi irrégulièrement la frontière du territoire des Etats Dublin le 11 juin 2021 en Italie. En date du 29 juillet 2021, le SEM a dès lors soumis aux autorités italiennes compétentes, dans le délai fixé à l'art. 21 par. 1 du règlement Dublin III, une requête aux fins de prise en charge, fondée sur l'art. 13 par. 1 du règlement Dublin III. Les autorités italiennes n'ayant pas répondu à cette requête dans le délai de deux mois prévu à l'art. 22 par. 1 du règlement Dublin III, la responsabilité de traiter la demande d'asile de l'intéressé est passée à l'Italie en vertu de l'art. 22 par. 7 du règlement Dublin III. Le recourant ne conteste au demeurant pas, sur le principe, la compétence de l'Italie.</w:t>
      </w:r>
    </w:p>
    <w:p>
      <w:r>
        <w:rPr>
          <w:b/>
        </w:rPr>
        <w:t>E. 6.1</w:t>
      </w:r>
    </w:p>
    <w:p>
      <w:r>
        <w:t>Le recourant s'est opposé à son transfert vers l'Italie en faisant valoir que les conditions d'accueil dans ce pays étaient mauvaises. A ce sujet, il a précisé qu'après sa quarantaine de 14 jours, il se serait retrouvé à la rue à Milan, sans toit, ni nourriture.</w:t>
      </w:r>
    </w:p>
    <w:p>
      <w:r>
        <w:rPr>
          <w:b/>
        </w:rPr>
        <w:t>E. 6.2</w:t>
      </w:r>
    </w:p>
    <w:p>
      <w:r>
        <w:t>Dans la mesure où, par ces allégations, le recourant se prévaut implicitement de la présence de défaillances systémiques en Italie, il ne saurait être suivi.</w:t>
      </w:r>
    </w:p>
    <w:p>
      <w:r>
        <w:rPr>
          <w:b/>
        </w:rPr>
        <w:t>E. 6.3</w:t>
      </w:r>
    </w:p>
    <w:p>
      <w:r>
        <w:t>En effet, en vertu de l'art. 3 par. 2 phr.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6.4</w:t>
      </w:r>
    </w:p>
    <w:p>
      <w:r>
        <w:t>En l'espèce, il sied de rappeler que le Tribunal a confirmé, dans sa jurisprudence récente, que la procédure d'asile et le système d'accueil en Italie ne présentaient pas de défaillances systémiques (cf., notamment, arrêt du TAF F-3101/2021 du 13 juillet 2021 consid. 4.2 et la jurisprudence citée). En outre, le recourant n'a fait valoir aucun élément ou moyen de preuve concret susceptible de remettre en question cette pratique.</w:t>
      </w:r>
    </w:p>
    <w:p>
      <w:r>
        <w:rPr>
          <w:b/>
        </w:rPr>
        <w:t>E. 6.5</w:t>
      </w:r>
    </w:p>
    <w:p>
      <w:r>
        <w:t>Dans ce contexte, il importe également de noter que dans la mesure où l'intéressé n'a pas formellement déposé une demande d'asile en Italie durant le séjour qu'il a accompli dans ce pays, les autorités italiennes n'étaient pas liées par les obligations découlant de la directive Accueil. Il incombera dès lors au recourant, à son arrivée en Italie, de s'annoncer dans les meilleurs délais auprès des autorités compétentes afin d'y déposer une demande d'asile et de se conformer à leurs instructions. Si, après avoir effectué ces démarches, il devait s'avérer que ce pays viole ses obligations d'assistance à son encontre,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w:t>
      </w:r>
    </w:p>
    <w:p>
      <w:r>
        <w:rPr>
          <w:b/>
        </w:rPr>
        <w:t>E. 7.1</w:t>
      </w:r>
    </w:p>
    <w:p>
      <w:r>
        <w:t>Finalement, le recourant ne saurait invoquer implicitement l'art. 8 CEDH et l'art. 16 du règlement Dublin III pour s'opposer à son transfert en Italie. Bien que celui-ci soutienne que les problèmes de santé de son frère justifierait sa présence sur le territoire helvétique, il sied de rappeler que les relations familiales existantes entre une fratrie majeure ne sont en effet pas protégées par les garanties conférées par l'art. 8 CEDH, puisque cette disposition conventionnelle vise essentiellement les relations au sein de la famille nucléaire (soit entre parents et enfants mineurs) et que le recourant n'a pas, par ailleurs, fait valoir l'existence d'un rapport de dépendance particulier (sur les éléments qui précèdent, cf. notamment l'ATF 144 II 1 consid. 6.1). En effet, l'intéressé n'a avancé aucun élément concret ou moyen de preuve probant indiquant que son frère serait dépendant d'une réelle prise en charge de sa part, dépassant le soutien moral qu'il lui fournirait, et que ce dernier souffrirait d'une symptomatologie médicale à ce point grave qu'il aurait besoin quotidiennement et durablement de la surveillance du recourant.</w:t>
      </w:r>
    </w:p>
    <w:p>
      <w:r>
        <w:rPr>
          <w:b/>
        </w:rPr>
        <w:t>E. 7.2</w:t>
      </w:r>
    </w:p>
    <w:p>
      <w:r>
        <w:t>En conséquence, l'intéressé ne saurait se prévaloir des problèmes médicaux de son frère et de la relation entretenue avec celui-ci afin de justifier un obstacle à son transfert vers l'Italie, au regard des dispositions précitées (cf. consid. 7.1 supra).</w:t>
      </w:r>
    </w:p>
    <w:p>
      <w:r>
        <w:rPr>
          <w:b/>
        </w:rPr>
        <w:t>E. 7.3</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et que l'éventuelle présence de son frère en Suisse ne saurait constitue par un facteur décisif (cf. consid. 7.2 supra ; ATAF 2017 VI/5 consid. 8.2.1).</w:t>
      </w:r>
    </w:p>
    <w:p>
      <w:r>
        <w:rPr>
          <w:b/>
        </w:rPr>
        <w:t>E. 8</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9</w:t>
      </w:r>
    </w:p>
    <w:p>
      <w:r>
        <w:t>Partant, le recours est rejeté. En outre, dans la mesure où il a été immédiatement statué sur le fond, les requêtes formulées dans le mémoire de recours tendant à l'octroi de l'effet suspensif et à la dispense du versement d'une avance de frais sont devenues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