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F-4488/2016 vom 9. November 2017</w:t>
      </w:r>
    </w:p>
    <w:p>
      <w:r>
        <w:t>Bundesverwaltungsgericht, 2017-11-09, DE</w:t>
      </w:r>
    </w:p>
    <w:p>
      <w:r>
        <w:rPr>
          <w:b/>
        </w:rPr>
        <w:t xml:space="preserve">Quelle: </w:t>
      </w:r>
      <w:r>
        <w:t>https://mcp.opencaselaw.ch/entscheid/bvger_F-4488_2016</w:t>
      </w:r>
    </w:p>
    <w:p>
      <w:r>
        <w:t>FR: TAF F-4488/2016 du 9 novembre 2017</w:t>
      </w:r>
    </w:p>
    <w:p>
      <w:r>
        <w:t>IT: TAF F-4488/2016 del 9 novembre 2017</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Abs. 1 VwVG zur Beschwerde legitimiert. Auf die frist- und formgerecht eingereichte Beschwerde ist einzutreten.</w:t>
      </w:r>
    </w:p>
    <w:p>
      <w:r>
        <w:rPr>
          <w:b/>
        </w:rPr>
        <w:t>E. 1.3</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liegt das Gesuch einer kubanischen Staatsangehörigen um Erteilung eines Visums für einen 28-tägigen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w:t>
      </w:r>
    </w:p>
    <w:p>
      <w:r>
        <w:rPr>
          <w:b/>
        </w:rPr>
        <w:t>E. 3.4</w:t>
      </w:r>
    </w:p>
    <w:p>
      <w:r>
        <w:t>Eine Gefahr für die öffentliche Ordnung im Sinne von Art. 6 Abs. 1 Bst. e SGK ist beispielsweise dann anzunehmen, wenn die drittstaatsangehörige Person nicht bereit ist, das Hoheitsgebiet des Schengen-Raums fristgerecht wieder zu verlassen (vgl. dazu Egli/Meyer, in: Caroni/Gächter/Thurnherr [Hrsg.], Stämpflis Handkommentar zum Bundesgesetz über die Ausländerinnen und Ausländer, 2010, Art. 5 N. 33). Die Behörden haben daher zu prüfen und die drittstaatsangehörige Person hat zu belegen, dass keine Gefahr einer rechtswidrigen Einwanderung oder einer nicht fristgerechten Ausreise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3.6</w:t>
      </w:r>
    </w:p>
    <w:p>
      <w:r>
        <w:t>Aufgrund ihrer Staatszugehörigkeit unterliegt die Gesuchstellerin der Visumspflicht (vgl. Anhang I zu der in E. 3.3 erwähnten Verordnung [EG] Nr. 539/2001 [zum vollständigen Quellennachweis vgl. Fussnote zu Art. 4 Abs. 1 VEV]).</w:t>
      </w:r>
    </w:p>
    <w:p>
      <w:r>
        <w:rPr>
          <w:b/>
        </w:rPr>
        <w:t>E. 4.1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4.2.1</w:t>
      </w:r>
    </w:p>
    <w:p>
      <w:r>
        <w:t>Kubas Wirtschaft wird nach wie vor durch den Staat dominiert. Von der Möglichkeit, in rund 200 Berufsfeldern eine selbständige Erwerbstätigkeit auszuüben, haben bisher etwa 10 % der Beschäftigten Gebrauch gemacht. Insgesamt ist die Wirtschaftslage schwierig; für das Jahr 2016 wurde gar ein leichter Rückgang festgestellt. Zuverlässige Zahlen zum Bruttoinlandprodukt sind jedoch nicht erhältlich. Die offizielle Arbeitslosenquote für das Jahr 2016 wird mit 2,4 % angegeben. Das staatliche monatliche Durchschnittseinkommen ist mit umgerechnet USD 28 sehr gering: (vgl. zum Ganzen auch www.auswaertiges-amt.de &gt; Aussen- und Europapolitik &gt; Länderübersicht &gt; Kuba &gt; Wirtschaft, Stand März 2017, besucht im Oktober 2017).</w:t>
      </w:r>
    </w:p>
    <w:p>
      <w:r>
        <w:rPr>
          <w:b/>
        </w:rPr>
        <w:t>E. 4.2.2</w:t>
      </w:r>
    </w:p>
    <w:p>
      <w:r>
        <w:t>Bei der Betrachtung der allgemeinen Lage sind auch die Erfahrungen mit der Emigration zu berücksichtigen. So kämpft Kuba seit Jahren mit der Abwanderung seiner Bevölkerung (vgl. Urteil des BVGer C-3950/2014 vom 17. März 2015 E. 6.2 m.H.). Zwar begeben sich die meisten Personen in die Vereinigten Staaten, wo sich mittlerweile eine bedeutende Diaspora befindet. Die Erfahrung zeigt jedoch, dass ein bereits bestehendes (familiäres) Beziehungsnetz auch die Emigration in andere Länder begünstigt. Hinzu kommt noch eine Eigenheit des kubanischen Rechts, durch die kubanischen Staatsangehörigen die Rückkehr nach Kuba verwehrt werden kann, wenn die Landesabwesenheit eine gewisse Dauer überschreitet und weitere Voraussetzungen erfüllt sind, die zumindest teilweise im Einflussbereich der betroffenen Personen selbst liegen (vgl. Urteil des BVGer F-546/2016 vom 20. Juni 2017 E. 6 sowie Pedroza/Palop/ Hoffmann, Emigrant Policies in Latin America and the Caribbean, 2016, S. 153 f., Nuris Piñero Sierra, Ley de Migración, 2015, S. 9).</w:t>
      </w:r>
    </w:p>
    <w:p>
      <w:r>
        <w:rPr>
          <w:b/>
        </w:rPr>
        <w:t>E. 4.2.3</w:t>
      </w:r>
    </w:p>
    <w:p>
      <w:r>
        <w:t>Angesichts der geschilderten Umstände ist nicht zu beanstanden, dass die Vorinstanz das Risiko einer nicht fristgerechten Wiederausreise von Besuchern aus Kuba allgemein als hoch einschätzt.</w:t>
      </w:r>
    </w:p>
    <w:p>
      <w:r>
        <w:rPr>
          <w:b/>
        </w:rPr>
        <w:t>E. 4.3.1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4.3.2</w:t>
      </w:r>
    </w:p>
    <w:p>
      <w:r>
        <w:t>Bei der Gesuchstellerin handelt es sich um eine 24-jährige ledige Mutter eines Sohnes. Sie ist Hausfrau und auf Stellensuche. Der Beschwerdeführer und sie haben sich in Havanna kennen gelernt. Der Besuch in der Schweiz soll der Gesuchstellerin dazu dienen, das Land und die Familie des Beschwerdeführers kennenzulernen, um dann die gemeinsame Zukunft planen zu können.</w:t>
      </w:r>
    </w:p>
    <w:p>
      <w:r>
        <w:rPr>
          <w:b/>
        </w:rPr>
        <w:t>E. 4.3.3</w:t>
      </w:r>
    </w:p>
    <w:p>
      <w:r>
        <w:t>Aus diesen Vorbringen lassen sich zwar gewisse familiäre Bindungen der Gesuchstellerin erkennen. Allerdings stimmen die Angaben des Beschwerdeführers und diejenigen der Gesuchstellerin nicht ganz überein. Während die Gesuchstellerin auf die Frage nach in Kuba lebenden Familienangehörigen ihre Eltern und ihren Sohn nennt, führt der Beschwerdeführer die Eltern und einen Bruder auf. Ob und welche Verpflichtungen der Gesuchstellerin allenfalls aus diesen Beziehungen erwachsen, geht aus den eingereichten Unterlagen nicht hervor.</w:t>
      </w:r>
    </w:p>
    <w:p>
      <w:r>
        <w:rPr>
          <w:b/>
        </w:rPr>
        <w:t>E. 4.3.4</w:t>
      </w:r>
    </w:p>
    <w:p>
      <w:r>
        <w:t>Die finanzielle Situation der Gesuchstellerin erscheint prekär, befindet sie sich doch gemäss Angaben des Beschwerdeführers auf Stellensuche. Zudem überweist er ihr gemäss den eingereichten Unterlagen seit 2013 regelmässig Beträge in unterschiedlicher Höhe (min. 200 Euro, max. 2'000 Euro).</w:t>
      </w:r>
    </w:p>
    <w:p>
      <w:r>
        <w:rPr>
          <w:b/>
        </w:rPr>
        <w:t>E. 4.3.5</w:t>
      </w:r>
    </w:p>
    <w:p>
      <w:r>
        <w:t>Die persönliche Situation der Gesuchstellerin ist demnach nicht geeignet, die aufgrund der allgemeinen Situation in Kuba bestehende negative Prognose bezüglich der Verpflichtung die Schweiz bzw. den Schengen-Raum fristgerecht zu verlassen, positiv zu beeinflussen.</w:t>
      </w:r>
    </w:p>
    <w:p>
      <w:r>
        <w:rPr>
          <w:b/>
        </w:rPr>
        <w:t>E. 4.4</w:t>
      </w:r>
    </w:p>
    <w:p>
      <w:r>
        <w:t>Nach dem Gesagten ist die Schlussfolgerung der Vorinstanz, wonach die Wiederausreise der Gesuchstellerin angesichts der allgemeinen Lage in Kuba und ihrer individuellen Situation nicht als gesichert angesehen werden könne, nicht zu beanstanden. Der verständliche Wunsch des Beschwerdeführers, der Gesuchstellerin die Schweiz zu zeigen und sie seiner Familie vorzustellen, um anschliessend die gemeinsame Zukunft planen zu können, vermag an dieser Beurteilung nichts zu ändern. Auch die Zusicherung des Beschwerdeführers, er werde dafür sorgen, dass die Gesuchstellerin die Schweiz wieder verlasse, kann zu keiner anderen Einschätzung führen. Denn eine solche Garantie ist weder faktisch noch rechtlich durchsetzbar. Gastgeber können zwar für gewisse finanzielle Risiken im Zusammenhang mit einem Besuchsaufenthalt, nicht jedoch für ein bestimmtes Verhalten ihrer Gäste garantieren (vgl. BVGE 2009/27 E. 9). Es fehlt daher an einer unabdingbaren Voraussetzung für die Erteilung eines einheitlichen Visums für den gesamten Schengen-Raum. Gründe für die Ausstellung eines Visums mit räumlich beschränkter Gültigkeit (vgl. E. 3.5) sind nicht ersichtlich.</w:t>
      </w:r>
    </w:p>
    <w:p>
      <w:r>
        <w:rPr>
          <w:b/>
        </w:rPr>
        <w:t>E. 5</w:t>
      </w:r>
    </w:p>
    <w:p>
      <w:r>
        <w:t>Aus diesen Darlegungen folgt, dass die angefochtene Verfügung im Lichte von Art. 49 VwVG nicht zu beanstanden ist. Die Beschwerde ist daher abzuweisen.</w:t>
      </w:r>
    </w:p>
    <w:p>
      <w:r>
        <w:rPr>
          <w:b/>
        </w:rPr>
        <w:t>E. 6</w:t>
      </w:r>
    </w:p>
    <w:p>
      <w:r>
        <w:t>Bei diesem Ausgang des Verfahrens sind die Kosten dem Beschwerdeführer aufzuerlegen (vgl. Art. 63 Abs. 1 i.v.m. Art. 1 und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