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F-4484/2016 vom 1. Juni 2017</w:t>
      </w:r>
    </w:p>
    <w:p>
      <w:r>
        <w:t>Bundesverwaltungsgericht, 2017-06-01, FR</w:t>
      </w:r>
    </w:p>
    <w:p>
      <w:r>
        <w:rPr>
          <w:b/>
        </w:rPr>
        <w:t xml:space="preserve">Quelle: </w:t>
      </w:r>
      <w:r>
        <w:t>https://mcp.opencaselaw.ch/entscheid/bvger_F-4484_2016</w:t>
      </w:r>
    </w:p>
    <w:p>
      <w:r>
        <w:t>FR: TAF F-4484/2016 du 1 juin 2017</w:t>
      </w:r>
    </w:p>
    <w:p>
      <w:r>
        <w:t>IT: TAF F-4484/2016 del 1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w:t>
      </w:r>
    </w:p>
    <w:p>
      <w:r>
        <w:t>Préalablement à l'examen au fond, le Tribunal tient à rappeler que le cadre litigieux de la présente procédure est circonscrit par le dispositif de la décision querellée du 6 mai 2015 à la seule question de l'interdiction en Suisse, respectivement dans l'Espace Schengen, et qu'il ne concerne pas la question du renvoi du recourant, ni celle de l'exécution de son renvoi, ni encore moins celle de l'obtention d'une quelconque autorisation de séjour dans le canton du Valais (cf. décision incidente du 23 août 2016). Il sied dès lors de relever que le grief tiré d'une violation de l'art. 3 CEDH sort du cadre litigieux défini plus haut. Partant, la requête visant à reconnaître que la situation médicale de l'intéressé nécessite la protection de ladite disposition conventionnelle (cf. mémoire de recours, pp. 10 à 12) n'est point recevable in casu.</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Tribunal administratif fédéral C-5819/2012 du 26 août 2014 consid. 4 [non publié dans ATAF 2014/20] et C-2178/2013 du 9 avril 2014 consid. 3.2, et la jurisprudence citée).</w:t>
      </w:r>
    </w:p>
    <w:p>
      <w:r>
        <w:rPr>
          <w:b/>
        </w:rPr>
        <w:t>E. 4.3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5</w:t>
      </w:r>
    </w:p>
    <w:p>
      <w:r>
        <w:t>En l'occurrence, le SEM a rendu le 6 mai 2015 une décision d'interdiction d'entrée d'une durée de quinze ans à l'encontre d'A._______. Il a considéré qu'une telle mesure d'éloignement s'imposait en raison de la « persistance » avec laquelle le prénommé contrevenait à l'ordre juridique en Suisse. Il a ajouté que le fait que les actes délictueux commis par l'intéressé se soient déroulés sur plusieurs années démontrait manifestement son incapacité à respecter l'ordre et la sécurité publics et ne permettait pas d'exclure le risque de récidive.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L'examen des pièces du dossier cantonal montre que le comportement d'A._______ durant sa présence sur territoire helvétique a donné lieu, en l'espace de dix ans, à pas moins de dix-sept condamnations pénales et que le Service de la population lui a adressé quatre avertissements avant de révoquer son autorisation d'établissement et d'ordonner son renvoi de Suisse (cf. décision cantonale du 30 mai 2014).</w:t>
      </w:r>
    </w:p>
    <w:p>
      <w:r>
        <w:rPr>
          <w:b/>
        </w:rPr>
        <w:t>E. 5.2</w:t>
      </w:r>
    </w:p>
    <w:p>
      <w:r>
        <w:t>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6 mai 2015 est-elle manifestement justifiée dans son principe.</w:t>
      </w:r>
    </w:p>
    <w:p>
      <w:r>
        <w:rPr>
          <w:b/>
        </w:rPr>
        <w:t>E. 5.3</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5.3.1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et réf. cit. [sur l'applicabilité de cette jurisprudence à des ressortissants provenant d'Etats tiers, cf. ATF 139 II précité consid. 6.2]). L'évaluation du risque de récidive sera d'autant plus rigoureuse que le bien juridique menacé est important. Selon la jurisprudence, un tel risque pourra également être admis pour les multirécidivistes qui n'ont pas tiré de leçon de leurs condamnations pénales antérieures (cf. arrêt du Tribunal fédéral 2C_121/2014 du 17 juillet 2014 consid. 4.3).</w:t>
      </w:r>
    </w:p>
    <w:p>
      <w:r>
        <w:rPr>
          <w:b/>
        </w:rPr>
        <w:t>E. 5.3.2</w:t>
      </w:r>
    </w:p>
    <w:p>
      <w:r>
        <w:t>Dans le cas particulier, il convient de reconnaître que les infractions qui sont imputées au recourant ne revêtent pas, prises individuellement, une intensité suffisante pour constituer une atteinte grave à la sécurité et à l'ordre publics. Il n'en demeure pas moins que la multiplicité de ses agissements coupables, et principalement ceux liés aux infractions à la LStup (cf. les condamnations pénales subies à ce titre qui sont énumérées dans la décision rendue par le Service de la population le 30 mai 2014), constituent indéniablement une menace caractérisée contre les biens juridiquement protégés (en l'occurrence la santé), ainsi qu'un trouble à l'ordre social, et affectent un intérêt fondamental de la société. C'est ici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et 125 II 521 consid. 4a/aa ;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jurispr. cit.). A ce stade, il est important de souligner que les nombreuses condamnations pénales ainsi que les sévères avertissements adressés par les autorités cantonales compétentes n'ont aucunement influencé le comportement du recourant. Ce dernier a au contraire démontré une énergie « délictuelle » sans relâche, un manque d'introspection crasse et une incapacité constante à se conformer à l'ordre public suisse. Aussi le recourant ne saurait-il tirer argument du temps écoulé depuis sa dernière condamnation pénale en 2014 (cf. mémoire de recours, p. 10), ce laps de temps ne suffisant pas, à lui seul, pour relayer à l'arrière-plan l'actualité du risque pour la sécurité et l'ordre publics suisses. Dans ce contexte, l'on peut aussi émettre de sérieux doutes quant à l'affirmation du recourant selon laquelle « il est conscient d'avoir commis des erreurs mais qu'il a changé et qu'il est digne de confiance », en dépit des nombreuses lettres de soutien (confirmant ses dires) et des mesures préconisées par l'Office valaisan des sanctions et des mesures accompagnement dans son rapport social final du 18 novembre 2014 (cf. pièces produites à l'appui du recours). Par ailleurs, l'intervenant en addiction de l'intéressé a indiqué dans son rapport semestriel du 1er juillet 2014 que l'environnement et le manque d'activité représentaient « des facteurs de risque pour une rechute dans la consommation de stupéfiants » (cf. rapport précité, p. 6).</w:t>
      </w:r>
    </w:p>
    <w:p>
      <w:r>
        <w:rPr>
          <w:b/>
        </w:rPr>
        <w:t>E. 5.3.3</w:t>
      </w:r>
    </w:p>
    <w:p>
      <w:r>
        <w:t>Au vu de l'ensemble des circonstances, en particulier de la délinquance chronique, de la nature des biens juridiques menacés, du manque d'introspection, ainsi que de son incapacité à saisir les nombreuses possibilités d'amendement qui lui ont été offertes par les autorités cantonales (des circonstances qui excluent assurément un pronostic favorable), force est de constater qu'il représente encore une menace et grave pour la sécurité et l'ordre publics. Le prononcé à son endroit d'une mesure d'éloignement d'une durée supérieure à cinq ans s'avère dès lors justifié.</w:t>
      </w:r>
    </w:p>
    <w:p>
      <w:r>
        <w:rPr>
          <w:b/>
        </w:rPr>
        <w:t>E. 6</w:t>
      </w:r>
    </w:p>
    <w:p>
      <w:r>
        <w:t>Il convient encore d'examiner si la durée de la mesure d'éloignement prise par l'autorité inférieure, soit quinze ans, satisfait aux principes de proportionnalité et d'égalité de traitement.</w:t>
      </w:r>
    </w:p>
    <w:p>
      <w:r>
        <w:rPr>
          <w:b/>
        </w:rPr>
        <w:t>E. 6.1</w:t>
      </w:r>
    </w:p>
    <w:p>
      <w:r>
        <w:t>6.1.1 A cet égard, il importe tout d'abord de relever que, selon les précisions apportées par la jurisprudence sur la durée de validité des interdictions d'entrée motivées par l'existence d'une menace grave pour la sécurité et l'ordre publics suisses (art. 67 al. 3 LEtr), cette durée sera fixée sur une période dépassant cinq ans et pouvant s'étendre au maximum à quinze ans, voire à vingt ans en cas de récidive (cf. ATAF 2014/20 consid. 7).</w:t>
      </w:r>
    </w:p>
    <w:p>
      <w:r>
        <w:rPr>
          <w:b/>
        </w:rPr>
        <w:t>E. 6.1.2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les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l'ATF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l'ATF 139 II 121 consid. 6.5.1 et la jurisprudence citée). L'examen sous l'angle de l'art. 8 par. 2 CEDH se confond avec celui imposé par l'art. 96 LEtr (cf. notamment les arrêts du Tribunal fédéral 2C_53/2015 du 31 mars 2015 consid. 5.3 et 2C_139/2014 du 4 juillet 2014 consid. 5). 6.26.2.1 Concernant les deux premières règles susmentionnées, il est indéniable, en l'absence d'un pronostic favorable quant au risque de réitération des types d'infractions commises par le recourant (cf. consid. 4.3), que l'éloignement de ce dernier du territoire suisse est apte et nécessaire pour atteindre les buts visés, à savoir protéger l'ordre et la sécurité publics. 6.2.2 S'agissant de la règle de la proportionnalité au sens étroit, il sied de procéder à une pesée des intérêts en présence, à savoir d'un côté l'intérêt privé d'A._______ à pouvoir entrer librement sur le territoire suisse, et d'un autre côté, l'intérêt public à le tenir éloigné afin de protéger l'ordre et la sécurité publics. Dans le cas particulier, l'interdiction d'entrée en Suisse prise à l'endroit du recourant apparaît également justifiée sous cet angle. En ce qui concerne l'intérêt public, il est à noter que l'interdiction d'entrée est une mesure administrative de contrôle qui tend à le tenir éloigné de la Suisse où il a contrevenu aux prescriptions légales en commettant des infractions revêtant une gravité particulière (cf. pour le détail des infractions, consid. B supra). Il en va de l'intérêt de l'Etat à voir respecter l'ordre établi et la législation en vigueur (cf. arrêts du Tribunal administratif fédéral F-1919/2016 précité consid. 6.2.2 et C-4334/2014 du 19 mai 2015 consid. 7.2 et réf. cit.). La détermination de la durée d'une interdiction d'entrée dans un cas concret doit tenir compte en particulier de l'importance des biens juridiques menacés et des intérêts privés concernés (cf. ATAF 2014/20 consid. 8.2 et 8.3).</w:t>
      </w:r>
    </w:p>
    <w:p>
      <w:r>
        <w:rPr>
          <w:b/>
        </w:rPr>
        <w:t>E. 6.3</w:t>
      </w:r>
    </w:p>
    <w:p>
      <w:r>
        <w:t>6.3.1 En l'occurrence, les nombreux antécédents pénaux du recourant témoignent des grandes difficultés qu'éprouve le recourant à se conformer à l'ordre établi, voire d'un certain mépris à l'égard du système juridique et des autorités helvétiques. Par ailleurs, on rappellera qu'il a fait preuve d'un manque crasse d'introspection, ne permettant ainsi pas aux autorités de poser un pronostic favorable à son égard. Etant donné l'énergie délictuelle que l'intéressé a déployée sans relâche sur une longue période de sa vie et sa persévérance à menacer les mêmes biens juridiquement protégés, le relativement bref laps de temps qui s'est écoulé depuis la révocation de son autorisation de séjour le 30 mai 2014 ne saurait être déterminant pour relativiser la menace qu'il constitue toujours pour la Suisse, même s'il ne devait plus avoir commis d'infractions depuis lors. Il existe donc in casu un intérêt public majeur à ce que les entrées de l'intéressé en Suisse soient contrôlées pendant une période relativement longue.</w:t>
      </w:r>
    </w:p>
    <w:p>
      <w:r>
        <w:rPr>
          <w:b/>
        </w:rPr>
        <w:t>E. 6.3.2</w:t>
      </w:r>
    </w:p>
    <w:p>
      <w:r>
        <w:t>Concernant les intérêts privés du recourant, le Tribunal de céans relèvera tout d'abord que l'impossibilité pour le recourant de résider durablement en Suisse ne résulte pas de la mesure d'éloignement litigieuse, mais découle du fait qu'il n'est plus titulaire d'un titre de séjour dans ce pays depuis la révocation de son autorisation d'établissement le 30 mai 2014. Ensuite, s'agissant des circonstances qui pourraient éventuellement plaider en faveur du recourant (durée de son séjour en Suisse, accomplissement de sa scolarité et de son apprentissage dans le canton du Valais, présence de plusieurs membres de sa famille en Suisse, participation à la vie sociale et culturelle de ce pays [cf. mémoire de recours, p. 17]), elles doivent être fortement relativisées. On ne saurait en effet perdre de vue que l'intéressé, s'il a certes passé la majeure partie de son existence sur le territoire helvétique et notamment les années de l'adolescence, soit une période considérée comme décisive pour la formation de la personnalité et, partant, pour l'intégration sociale et culturelle, a régulièrement occupé les forces de l'ordre à partir de l'âge de dix-neuf ans (cf. décision du Service de la population du 30 mai 2014, p. 1). Ainsi, malgré la durée prolongée de son séjour en Suisse, il s'impose de constater que l'intéressé a été dans l'incapacité de s'insérer dans ce pays et de s'y construire une existence normale. De plus, ainsi que l'avait retenu l'autorité cantonale, l'intéressé n'a jamais trouvé une stabilité professionnelle et sa situation financière est complétement obérée (ibid., p. 5). Dans ces circonstances, il est patent que le recourant n'a pas eu un comportement irréprochable en Suisse, si bien qu'il n'est pas fondé à se prévaloir de la protection de la vie privée au sens de l'art. 8 CEDH (cf. arrêts du Tribunal administratif fédéral F-1601/2015 du 28 novembre 2016 consid. 7.2.3 et C-3841/2013 du 1er octobre 2015 consid. 9.2.3). Le recourant argue que l'interdiction d'entrée constitue une ingérence injustifiée à son droit de mener une vie familiale étant donné que sa mère, ses frères et soeurs, de même que sa demi-soeur, se trouvent tous en Suisse et qu'il n'a pas de famille proche au Cap-Vert, pays où seuls ses grands-parents vivent (cf. mémoire de recours, p. 14). Contrairement à ce qu'il semble accroire, A._______ ne saurait toutefois déduire un droit de présence en Suisse fondé sur le droit à la protection de la vie familiale garanti par l'art. 8 par. 1 CEDH. Il convient en effet de rappeler que cette norme conventionnelle vise avant tout les relations qui existent entre époux ou entre parents et enfants mineurs vivant en ménage commun (cf. ATF 137 I 113 consid. 6.1, 135 I 143 consid. 1.3.2 et jurispr. cit.)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Tribunal fédéral 2C_614/2013 du 28 mars 2014 consid. 3.1, 2C_546/2013 du 5 décembre 2013 consid. 4.1 et jurispr. cit.). Or, force est de constater que le recourant est majeur et qu'il ne se trouve pas dans un état de dépendance (tel que défini par la jurisprudence susmentionnée) vis-à-vis de sa parenté vivant en Suisse. Il sied néanmoins de remarquer que rien n'empêche le recourant de voir ses parents hors de Suisse ou de requérir auprès de l'autorité inférieure la suspension temporaire de la mesure d'interdiction d'entrée pour des motifs importants ou humanitaires.</w:t>
      </w:r>
    </w:p>
    <w:p>
      <w:r>
        <w:rPr>
          <w:b/>
        </w:rPr>
        <w:t>E. 6.4</w:t>
      </w:r>
    </w:p>
    <w:p>
      <w:r>
        <w:t>Cela étant, au vu de l'ensemble des éléments objectifs et subjectifs de la cause, soit notamment du fait que les condamnations pour infractions à la LStup prononcées à l'endroit du recourant ont sanctionné la consommation personnelle et non pas le trafic de produits stupéfiants (cf. mémoire de recours, p. 9), de l'entrée en Suisse de l'intéressé avant ses cinq ans, de son relativement jeune âge et de ses attaches familiales indéniables avec la Suisse, le Tribunal de céans considère que la durée de l'interdiction d'entrée (quinze ans) prononcée par le SEM n'est pas adéquate et qu'il convient de limiter à dix ans les effets de cette mesure, soit jusqu'au 5 mai 2025. Une telle durée paraît en effet conforme au principe de proportionnalité et dans un rapport plus raisonnable avec l'intérêt privé du recourant à pouvoir à nouveau circuler sans contrainte sur l'ensemble des territoires des Etats membres de l'Espace Schengen. Il n'en reste pas moins que cette liberté ne saurait en l'état supplanter l'intérêt public à l'éloignement de la Suisse de l'intéressé pendant une durée relativement longue, compte tenu du risque de récidive non négligeable que ce dernier présente malgré tout, eu égard à la nature et la fréquence des actes pour lesquels il a été condamné durant sa présence sur le territoire helvétique. Par ailleurs, compte tenu des décisions prises par les autorités fédérales dans des cas analogues, la durée de dix ans de la mesure d'interdiction d'entrée n'est pas contraire au principe d'égalité de traitement. 7.Le SEM a par ailleurs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jusqu'au 5 mai 2025.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 8.Enfin, dans le cas d'espèce, c'est à bon droit que le SEM n'a pas fait application de l'at. 67 al. 5 LEtr. En effet, il ne ressort pas du dossier que des raisons humanitaires ou d'autres motifs importants puissent justifier le renoncement au prononcé d'une mesure d'éloignement, au vu de la nature et de la fréquence des infractions commises par le recourant. 9.Le recours est en conséquence partiellement admis, dans la mesure où il est recevable (cf. consid. 3 supra), et la décision du SEM du 6 mai 2015 est réformée en ce sens que les effets de l'interdiction d'entrée sont limités au 5 mai 2025.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 Obtenant partiellement gain de cause, le recourant a par ailleurs droit à des dépens partiels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mandataire, le Tribunal estime, considérant les art. 8ss FITAF, que le versement d'un montant de Fr 900.-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