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F-4479/2015 vom 10. Februar 2017</w:t>
      </w:r>
    </w:p>
    <w:p>
      <w:r>
        <w:t>Bundesverwaltungsgericht, 2017-02-10, DE</w:t>
      </w:r>
    </w:p>
    <w:p>
      <w:r>
        <w:rPr>
          <w:b/>
        </w:rPr>
        <w:t xml:space="preserve">Quelle: </w:t>
      </w:r>
      <w:r>
        <w:t>https://mcp.opencaselaw.ch/entscheid/bvger_F-4479_2015</w:t>
      </w:r>
    </w:p>
    <w:p>
      <w:r>
        <w:t>FR: TAF F-4479/2015 du 10 février 2017</w:t>
      </w:r>
    </w:p>
    <w:p>
      <w:r>
        <w:t>IT: TAF F-4479/2015 del 10 febbraio 2017</w:t>
      </w:r>
    </w:p>
    <w:p>
      <w:pPr>
        <w:pStyle w:val="Heading2"/>
      </w:pPr>
      <w:r>
        <w:t>Regeste</w:t>
      </w:r>
    </w:p>
    <w:p>
      <w:r>
        <w:t>Einreiseverbot</w:t>
      </w:r>
    </w:p>
    <w:p>
      <w:pPr>
        <w:pStyle w:val="Heading2"/>
      </w:pPr>
      <w:r>
        <w:t>Erwägungen</w:t>
      </w:r>
    </w:p>
    <w:p>
      <w:r>
        <w:rPr>
          <w:b/>
        </w:rPr>
        <w:t>E. 1.1</w:t>
      </w:r>
    </w:p>
    <w:p>
      <w:r>
        <w:t>Verfügungen des SEM, die ein Einreiseverbot im Sinne von Art. 67 AuG (SR 142.20)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ergeben (vgl. BGE 139 II 121 E. 6.3; Urteil des BGer 2C_270/2015 vom 6. August 2015 E. 4.2; BVGE 2013/4 E. 7.2.4; Urteil des BVGer C-5602/2012 vom 16. Januar 2015 E. 6.1 m.H.).</w:t>
      </w:r>
    </w:p>
    <w:p>
      <w:r>
        <w:rPr>
          <w:b/>
        </w:rPr>
        <w:t>E. 3.5</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gestützt auf das Einreiseverbot eine Ausschreibung der betroffenen Person im Schengener Informationssystems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w:t>
      </w:r>
    </w:p>
    <w:p>
      <w:r>
        <w:rPr>
          <w:b/>
        </w:rPr>
        <w:t>E. 4.1</w:t>
      </w:r>
    </w:p>
    <w:p>
      <w:r>
        <w:t>Wie der Sachverhaltszusammenfassung weiter oben entnommen werden kann, musste der Beschwerdeführer seit dem Jahr 1999 in regelmässigen Abständen wegen Vermögensdelikten, insbesondere Diebstählen und Hehlerei, strafrechtlich zur Verantwortung gezogen werden. Er liess sich weder von ihm gewährten Probezeiten noch vom Vollzug von Freiheitsstrafen oder von laufenden Strafuntersuchungen beeindrucken. Auch eine förmliche ausländerrechtliche Verwarnung blieb erfolglos. Zuletzt wurde der Beschwerdeführer mit Urteil des Bezirksgerichts Zürich vom 18. September 2012 wegen gewerbsmässigen Betrugs, mehrfachen Diebstahls, Pfändungsbetrugs und SVG-Delikten zu einer teilbedingten Freiheitsstrafe von 36 Monaten bei einer Probezeit von vier Jahren verurteilt.</w:t>
      </w:r>
    </w:p>
    <w:p>
      <w:r>
        <w:rPr>
          <w:b/>
        </w:rPr>
        <w:t>E. 4.2</w:t>
      </w:r>
    </w:p>
    <w:p>
      <w:r>
        <w:t>Das Bezirksgericht Zürich sah es unter anderem als erstellt an, dass der Beschwerdeführer innerhalb eines Zeitraums von Januar 1999 bis Februar 2011 die Auszahlung von ihm nicht zustehenden staatlichen Leistungen der Sozialhilfe und der AHV/IV in der Grössenordnung von Fr. 433'000.- erwirkte, indem er die zuständigen Behörden arglistig über seine Einkommens- und Vermögensverhältnisse täuschte. So habe er den Behörden verschwiegen, dass er ein monatliches Einkommen von Fr. 2'000.- bis Fr. 4'000.- erwirtschafte, über namhafte Guthaben auf verschiedenen Bankkonten verfüge (Tiefststand per 01.01.2001: Fr. 85'139.10, Höchststand per 21.06.2005: Fr. 277'837.85), Elektronikgeräte von beträchtlichem Wert besitze (Mindestwert Fr. 15'000.-, Neuwert gemäss polizeilicher Schätzung: Fr. 300'000.-) und diverse Darlehen vergeben habe (rund Fr. 132'000.- in den Jahren 2006 und 2007). Bei diversen Hausdurchsuchungen im Jahr 2008 wurde ferner Bargeld im Betrag von rund Fr. 25'000.- sichergestellt. Die Delinquenz war nach dem Dafürhalten des Bezirksgerichts rein finanziell motiviert. Der Beschwerdeführer habe mit signifikanter krimineller Energie möglichst viele staatliche Leistungen erschlichen, um sich bei gleichzeitiger Schonung und Mehrung seiner Ersparnisse einen gehobenen Lebensstandard zu finanzieren, den er sich ansonsten nicht hätte leisten können (Autos, Motorräder, kostspielige Unterhaltungselektronik). Die Beendigung der Delinquenz sei auch nicht aus eigenem Antrieb erfolgt, sondern sei Folge seiner Verhaftung gewesen. Sein Verschulden wiege insgesamt erheblich.</w:t>
      </w:r>
    </w:p>
    <w:p>
      <w:r>
        <w:rPr>
          <w:b/>
        </w:rPr>
        <w:t>E. 4.3</w:t>
      </w:r>
    </w:p>
    <w:p>
      <w:r>
        <w:t>Angesichts des dargestellten Vorlebens des Beschwerdeführers und der damit an den Tag gelegten Renitenz sieht es das Bundesverwaltungsgericht als erstellt an, dass von ihm zum Zeitpunkt der letzten Verurteilung nicht nur eine einfache Gefahr für die öffentliche Sicherheit und Ordnung ausging, sondern dass diese Gefahr im Sinne von Art. 67 Abs. 3 AuG qualifiziert war. Zwar richteten sich die Delikte im Wesentlichen gegen das Vermögen und nicht gegen Leib und Leben oder ein anderes grundlegendes Rechtsgut, dessen Verletzung rechtsprechungsgemäss einem Gewaltdelikt gleich kommt. Allerdings ist nicht zu verkennen, dass der Beschwerdeführer mit dem schweren, sich über lange Jahre hinziehenden und gewerbsmässig begangenen Betrug zu Lasten der Sozialhilfe und der Sozialversicherung eine Anlasstat beging, die vom Verfassungsgeber als besonders verwerflich betrachtet wird und zum Verlust eines jeden Aufenthaltsrechts sowie zu einem obligatorischen Einreiseverbot von 5 bis 15 Jahren Dauer führt (Art. 121 Abs. 3 Bst. b und Abs. 4 BV; vgl. auch Art. 66a Abs. 1 Bst. c und e StGB, der in Konkretisierung der genannten Verfassungsbestimmung auf den 01.10.2016 in Kraft gesetzt wurde). Dieser Wertung ist in den Schranken des übrigen Verfassungs- und des Völkerrechts Rechnung zu tragen (vgl. dazu Urteil des BGer 2C_861/2016 vom 21.12.2016 E. 2.2.2 m. H.).</w:t>
      </w:r>
    </w:p>
    <w:p>
      <w:r>
        <w:rPr>
          <w:b/>
        </w:rPr>
        <w:t>E. 4.4</w:t>
      </w:r>
    </w:p>
    <w:p>
      <w:r>
        <w:t>Die spätere Entwicklung des Sachverhalts ist nicht geeignet, zu einer für den Beschwerdeführer wesentlich günstigeren Gefährdungsprognose zu führen. Selbst bei absolutem Wohlverhalten wären die seither vergangenen 4 ½ Jahre zu kurz bemessen, als dass von einer Wandlung des Beschwerdeführers zum Bessern ausgegangen werden könnte, zumal dieser unter dem Druck einer laufenden Probezeit und eines Verfahrens auf Widerruf seiner Niederlassungsbewilligung stand und über seine Lebensumstände seit der Ausschaffung im Juli 2015 nichts Konkretes bekannt ist. Der Beschwerdeführer war jedoch auch weiterhin polizeilich auffällig. Kurz nach dem Urteil des Bezirksgerichts Zürich, am 23. September 2012, wurde bei ihm wegen Verdachts des Diebstahls bzw. der Hehlerei eine Hausdurchsuchung durchgeführt, in deren Verlauf zahlreiche Sicherstellungen veranlasst wurden, die teils Diebesgut und teils Gegenstände verdächtiger Herkunft betrafen (vgl. etwa ZH-act. 88, 89, 90, 97, 99). Ferner wurde der Beschwerdeführer in eine Strafuntersuchung einbezogen wegen im Mai 2013 begangener Sachbeschädigung und Diebstahls von Überwachungskameras, die in der Tiefgarage seiner Wohnliegenschaft montiert waren (ZH-act. 102). Anzufügen bleibt, dass der Beschwerdeführer seiner Ausreiseverpflichtung nicht nachkam, in Ausschaffungshaft genommen und ausgeschafft werden musste (vgl. oben Bst. E), ferner dass die Kinder- und Erwachsenenschutzbehörde gegen ihn in der Vollzugsphase Massnahmen zum Schutz von Frau und Kindern ergreifen musste (ZH-act. 133, 143).</w:t>
      </w:r>
    </w:p>
    <w:p>
      <w:r>
        <w:rPr>
          <w:b/>
        </w:rPr>
        <w:t>E. 4.5</w:t>
      </w:r>
    </w:p>
    <w:p>
      <w:r>
        <w:t>Zusammenfassend ergibt sich, dass der Beschwerdeführer den qualifizierten Fernhaltegrund einer schwerwiegenden Gefährdung der öffentlichen Sicherheit und Ordnung im Sinne von Art. 67 Abs. 3 AuG gesetzt hat. Die Regelmaximaldauer eines Einreiseverbots von fünf Jahren gelangt daher nicht zur Anwendung.</w:t>
      </w:r>
    </w:p>
    <w:p>
      <w:r>
        <w:rPr>
          <w:b/>
        </w:rPr>
        <w:t>E. 5.1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5.2</w:t>
      </w:r>
    </w:p>
    <w:p>
      <w:r>
        <w:t>Vom Beschwerdeführer geht, wie weiter oben ausführlich dargelegt wurde, eine schwerwiegende Gefährdung der öffentlichen Sicherheit und Ordnung aus. Auch wenn sich seine Delinquenz im Wesentlichen gegen das Vermögen richtete, so ist in Anbetracht der Art und Schwere der Verfehlungen, namentlich in Gestalt des langjährigen gewerbsmässigen Betrugs zu Lasten der Sozialhilfe und der AHV/IV und der Höhe des verursachten Schadens, von einem erheblichen öffentlichen Interesse an einer langfristigen Fernhaltung auszugehen.</w:t>
      </w:r>
    </w:p>
    <w:p>
      <w:r>
        <w:rPr>
          <w:b/>
        </w:rPr>
        <w:t>E. 5.3</w:t>
      </w:r>
    </w:p>
    <w:p>
      <w:r>
        <w:t>Der Beschwerdeführer macht geltend, seine Ehefrau und die fünf gemeinsamen, hier geborenen Kinder lebten mit Schweizer Bürgerrecht in der Schweiz. Auch wenn sie eine vorübergehende Trennung vom Ehemann bzw. Vater in Kauf zu nehmen hätten, berühre die Fernhaltemassnahme das Recht auf Familienleben und das Kindeswohl. Gerade die drei jüngeren Kinder, geboren 2004, 2007 und 2012, seien auf die Betreuung durch beide Elternteile angewiesen. Bei der rund 15-jährigen Tochter B._______ sei ferner eine angeborene Herzkrankheit zu berücksichtigen, aufgrund der sie eine besondere Betreuung benötige. Seien die Eltern bereits in der Vergangenheit mit der Kinderbetreuung sehr stark belastet gewesen, so werde es die Ehefrau in Zukunft noch stärker sein. Es bestehe damit ein gewichtiges, durch Art. 8 EMRK und Art. 10 Abs. 2 des Übereinkommens vom 20. November 1989 über die Rechte des Kindes (nachfolgend: Kinderrechtskonvention, KRK, SR 0.107) geschütztes Interesse daran, dass er sich baldmöglichst wieder zusammen mit der Ehefrau um die Kinder kümmern könne. Eine zeitweilige Suspension würde zwar die Härte des fünfjährigen Einreiseverbots mindern, aber nicht in angemessenem Ausmass. Das Einreiseverbot sei daher mit fünf Jahren Dauer unverhältnismässig lang. Es sei auf zwei Jahre zu befristen.</w:t>
      </w:r>
    </w:p>
    <w:p>
      <w:r>
        <w:rPr>
          <w:b/>
        </w:rPr>
        <w:t>E. 5.4</w:t>
      </w:r>
    </w:p>
    <w:p>
      <w:r>
        <w:t>Dem Beschwerdeführer ist zu entgegnen, dass Einschränkungen seines Privat- und Familienlebens aufgrund sachlicher und funktioneller Unzuständigkeit des Bundesverwaltungsgerichts nicht Verfahrensgegenstand sein können, soweit sie auf das Fehlen eines dauerhaften Aufenthaltsrechts in der Schweiz zurückzuführen sind. Denn ein solches wurde dem Beschwerdeführer mit dem Widerruf der Niederlassungsbewilligung und der Wegweisung aus der Schweiz definitiv entzogen. Eine allfällige neue Bewilligung im Rahmen des Familiennachzugs ist nicht Gegenstand dieses Verfahrens. Hierfür wäre der Kanton zuständig, wobei das Einreiseverbot im Falle einer Bewilligungserteilung aufzuheben wäre (vgl. das Urteil des BVGer C-4941/2008 vom 23.11.2009 E. 7.3 mit Hinweis). Es kann sich vorliegend nur die Frage stellen, ob der mit dem Einreiseverbot gegenüber dem rechtlichen Status des Beschwerdeführers nach Verlust seines Aufenthaltsrechts zusätzlich bewirkte Malus einer rechtlichen Prüfung standhält. Dieser Malus besteht, wie der Beschwerdeführer erkennt, nicht in einem absoluten Verbot von Einreisen während der Geltungsdauer der Fernhaltemassnahme, sondern in der Notwendigkeit, für bewilligungsfreie Kurzaufenthalte in der Schweiz eine Suspension des Einreiseverbots nach Art. 67 Abs. 5 AuG zu erwirken. Eine solche Suspension kann im Sinne einer Ausnahme auf Gesuch hin für kurze, klar begrenzte Zeit gewährt werden, wenn wichtige Gründe vorliegen (vgl. zum Ganzen BVGE 2014/20 E. 8.3.4 m.H.).</w:t>
      </w:r>
    </w:p>
    <w:p>
      <w:r>
        <w:rPr>
          <w:b/>
        </w:rPr>
        <w:t>E. 5.5</w:t>
      </w:r>
    </w:p>
    <w:p>
      <w:r>
        <w:t>Dem Beschwerdeführer ist beizupflichten, dass er mit seinem 21-jährigen Aufenthalt sowie mit seiner in der Schweiz lebenden Ehefrau und den fünf gemeinsamen Kindern, die allesamt das Schweizer Bürgerrecht besitzen, wesentliche Lebensinteressen in der Schweiz hat, die grundsätzlich unter den Schutz von Art. 8 Ziff. 1 EMRK bzw. Art. 13 Abs. 1 BV sowie Art. 10 Abs. 2 KRK fallen. Zu bemerken ist jedoch, dass trotz des 21-jährigen Aufenthaltes des Beschwerdeführers in der Schweiz nicht von einer erfolgreichen Integration gesprochen werden kann, denn die Beachtung der Rechtsordnung bildet ein wesentliches Kriterium für die Beurteilung der Integrationsleistung (vgl. dazu etwa Art. 4 Bst. a der Verordnung vom 24. Oktober 2007 über die Integration von Ausländerinnen und Ausländern [VIntA, SR 142.205]). Ferner ist darauf hinzuweisen, dass auch die Ehefrau des Beschwerdeführers auf ein deliktisches Vorleben zurückblicken kann. Nach drei Vorstrafen wegen Diebstählen seit 2005 (ZH-act. 105) wurde sie mit Urteil des Bezirksgerichts Zürich vom 18. September 2012 als Mittäterin des Beschwerdeführers am gewerbsmässigen Betrug zu Lasten der Sozialhilfe und der Sozialversicherung und anderen Delikten zu einer teilbedingten Freiheitsstrafe von 31 Monaten verurteilt. Der Beschwerdeführer und seine Ehefrau mussten damit rechnen, dass sie das Wohlergehen der Familie und namentlich ihrer fünf Kinder, für die zuallererst sie als Eltern die Verantwortung tragen, in hohem Mass gefährden. Das hielt sie jedoch von ihrer Delinquenz nicht ab. Dieser Umstand ist bei der Gewichtung des privaten Interesses entsprechend zu berücksichtigen.</w:t>
      </w:r>
    </w:p>
    <w:p>
      <w:r>
        <w:rPr>
          <w:b/>
        </w:rPr>
        <w:t>E. 5.6</w:t>
      </w:r>
    </w:p>
    <w:p>
      <w:r>
        <w:t>Trotz der genannten Einschränkungen und Relativierungen ist nicht zu verkennen, dass das mit dem Einreiseverbot verbundene besondere Kontrollregime den Beschwerdeführer und seine in der Schweiz lebende Familie erheblich trifft. Dieser Umstand vermag jedoch das öffentliche Interesse an einer längerfristigen Fernhaltung des Beschwerdeführers nicht entscheidend zurückzudrängen. Eine wertende Gewichtung der sich gegenüberstehenden Interessen führt das Bundesverwaltungsgericht zum Ergebnis, dass das von der Vorinstanz verhängte Einreiseverbot auf einem gerechten Ausgleich der sich widerstreitenden Interessen beruht und eine verhältnismässige und angemessene Massnahme zum Schutz der öffentlichen Sicherheit und Ordnung darstellt. Insbesondere ist das Bundesverwaltungsgericht der Überzeugung, dass die Vorinstanz mit der Befristung des Einreiseverbots auf fünf Jahre und dem Verzicht auf eine Ausschreibung im Schengener Informationssystem SIS II den privaten Interessen des Beschwerdeführers ausreichend Rechnung trug - ohne diese Interessen hätte das Einreiseverbot empfindlich länger ausfallen müssen - und dass die mit dem fünfjährigen Einreiseverbot einhergehende Erschwerung der familiären und privaten Kontakte zur Schweiz, soweit sie unter den Schutz von Art. 8 Ziff. 1 EMRK bzw. Art. 13 Abs. 1 BV fallen, nach Massgabe von Art. 8 Ziff. 2 EMRK bzw. Art. 36 BV gerechtfertigt ist.</w:t>
      </w:r>
    </w:p>
    <w:p>
      <w:r>
        <w:rPr>
          <w:b/>
        </w:rPr>
        <w:t>E. 6</w:t>
      </w:r>
    </w:p>
    <w:p>
      <w:r>
        <w:t>Aus den vorstehenden Erwägungen ergibt sich, dass das auf fünf Jahre befristete Einreiseverbot im Licht von Art. 49 VwVG nicht zu beanstanden ist. Die Beschwerde ist demzufolge abzuweisen.</w:t>
      </w:r>
    </w:p>
    <w:p>
      <w:r>
        <w:rPr>
          <w:b/>
        </w:rPr>
        <w:t>E. 7</w:t>
      </w:r>
    </w:p>
    <w:p>
      <w:r>
        <w:t>Bei diesem Ausgang des Verfahrens sind die Verfahrenskosten dem Beschwerdeführer aufzuerlegen (Art. 63 Abs. 1 VwVG i.V.m. Art. 1 ff. des Reglements vom 21. Februar 2008 über Kosten und Entschädigungen vor dem Bundesverwaltungsgericht [VGKE, SR 173.320.2]).</w:t>
      </w:r>
    </w:p>
    <w:p>
      <w:r>
        <w:rPr>
          <w:b/>
        </w:rPr>
        <w:t>E. 8</w:t>
      </w:r>
    </w:p>
    <w:p>
      <w:r>
        <w:t>Dieses Urteil ist endgültig (Art. 83 Bst. c Ziff. 1 BGG).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