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F-4472/2019 vom 8. Februar 2021</w:t>
      </w:r>
    </w:p>
    <w:p>
      <w:r>
        <w:t>Bundesverwaltungsgericht, 2021-02-08, DE</w:t>
      </w:r>
    </w:p>
    <w:p>
      <w:r>
        <w:rPr>
          <w:b/>
        </w:rPr>
        <w:t xml:space="preserve">Quelle: </w:t>
      </w:r>
      <w:r>
        <w:t>https://mcp.opencaselaw.ch/entscheid/bvger_F-4472_2019</w:t>
      </w:r>
    </w:p>
    <w:p>
      <w:r>
        <w:t>FR: TAF F-4472/2019 du 8 février 2021</w:t>
      </w:r>
    </w:p>
    <w:p>
      <w:r>
        <w:t>IT: TAF F-4472/2019 del 8 febbraio 2021</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Nach Art. 67 Abs. 2 AIG kann das SEM ein Einreiseverbot gegenüber Ausländerinnen und Ausländern verfügen,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für eine Dauer von höchstens fünf Jahren verfügt. Es kann für eine längere Dauer verfügt werden, wenn die betroffene Person eine schwerwiegende Gefahr für die öffentliche Sicherheit und Ordnung darstellt (Art. 67 Abs. 3 AIG). Aus humanitären oder anderen wichtigen Gründen kann die zuständige Behörde von der Verhängung eines Einreiseverbots absehen oder ein solches vollständig oder vorübergehend aufheben (Art. 67 Abs. 5 AIG).</w:t>
      </w:r>
    </w:p>
    <w:p>
      <w:r>
        <w:rPr>
          <w:b/>
        </w:rPr>
        <w:t>E. 3.2</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w:t>
      </w:r>
    </w:p>
    <w:p>
      <w:r>
        <w:rPr>
          <w:b/>
        </w:rPr>
        <w:t>E. 4.1</w:t>
      </w:r>
    </w:p>
    <w:p>
      <w:r>
        <w:t>Die Vorinstanz begründet das gegenüber dem Beschwerdeführer verhängte Einreiseverbot mit dessen illegaler Erwerbstätigkeit. Die Ausübung einer nicht bewilligten Erwerbstätigkeit stelle einen Verstoss gegen die Einreisevoraussetzungen des Ausländerrechts dar, womit gegen die öffentliche Sicherheit und Ordnung im Sinne von Art. 67 Abs. 2 Bst. a AIG i.V.m. Art. 80 Abs. 1 Bst. a und Art. 80 Abs. 2 VZAE verstossen werde.</w:t>
      </w:r>
    </w:p>
    <w:p>
      <w:r>
        <w:rPr>
          <w:b/>
        </w:rPr>
        <w:t>E. 4.2</w:t>
      </w:r>
    </w:p>
    <w:p>
      <w:r>
        <w:t>Der Beschwerdeführer macht geltend, er verfüge über eine slowenische Aufenthaltsbewilligung und dürfe sich demnach frei im Schengen-Raum bewegen. Sein privates Interesse an der Personenfreizügigkeit überwiege das öffentliche Interesse am Einreiseverbot. Dementsprechend sei das Einreiseverbot für den Schengen-Raum aufzuheben.</w:t>
      </w:r>
    </w:p>
    <w:p>
      <w:r>
        <w:rPr>
          <w:b/>
        </w:rPr>
        <w:t>E. 5.1</w:t>
      </w:r>
    </w:p>
    <w:p>
      <w:r>
        <w:t>Der Beschwerdeführer ist im Besitz einer Aufenthaltsbewilligung für Slowenien. Aus diesem Grund begrenzte die Vorinstanz das Einreiseverbot auf das Gebiet der Schweiz und des Fürstentums Liechtenstein und verzichtete auf eine Ausschreibung im SIS. Die Ausführungen des Beschwerdeführers zur Freizügigkeit im Schengen-Raum zielen damit ins Leere.</w:t>
      </w:r>
    </w:p>
    <w:p>
      <w:r>
        <w:rPr>
          <w:b/>
        </w:rPr>
        <w:t>E. 5.2</w:t>
      </w:r>
    </w:p>
    <w:p>
      <w:r>
        <w:t>Auch wenn der Beschwerdeführer keine weiteren Einwände gegen das Einreiseverbot vorbringt, ist im Folgenden zu überprüfen, ob dieses rechtmässig angeordnet wurde und vor dem Grundsatz der Verhältnismässigkeit standhält (Rechtsanwendung von Amtes wegen; vgl. E. 2 hiervor).</w:t>
      </w:r>
    </w:p>
    <w:p>
      <w:r>
        <w:rPr>
          <w:b/>
        </w:rPr>
        <w:t>E. 5.3</w:t>
      </w:r>
    </w:p>
    <w:p>
      <w:r>
        <w:t>Gemäss Art. 11 Abs. 1 erster Satz AIG benötigen Ausländerinnen und Ausländer, die in der Schweiz eine Erwerbstätigkeit ausüben wollen, unabhängig von der Aufenthaltsdauer eine Bewilligung. Der ausländerrechtliche Begriff der Erwerbstätigkeit ist weit gefasst. Dies unter anderem, um die Möglichkeiten der Umgehung der Zulassungsvoraussetzungen gemäss Art. 18-26 AIG zu verringern (vgl. Marc Spescha, in: Spescha et al. [Hrsg.], Kommentar Migrationsrecht, 5. Aufl. 2019, N. 2 zu Art. 11 AIG). Als Erwerbstätigkeit gilt somit jede üblicherweise gegen Entgelt ausgeübte unselbständige oder selbständige Tätigkeit (Art. 11 Abs. 2 AIG). Eine Tätigkeit gilt dann als üblicherweise auf Entgelt gerichtet, wenn sie ihrer Art und ihrem Umfang nach auf dem schweizerischen Arbeits- und Dienstleistungsmarkt angeboten wird. Ohne Belang für die Qualifikation als (unselbständige) Erwerbstätigkeit ist, ob die Beschäftigung nur stunden- oder tageweise oder vorübergehend ausgeübt wird (Art. 1a Abs. 1 VZAE) (vgl. statt vieler: Urteil des BVGer F-1827/2018 vom 30. September 2019 E. 6.3.4).</w:t>
      </w:r>
    </w:p>
    <w:p>
      <w:r>
        <w:rPr>
          <w:b/>
        </w:rPr>
        <w:t>E. 5.4</w:t>
      </w:r>
    </w:p>
    <w:p>
      <w:r>
        <w:t>Der Beschwerdeführer hat in der Schweiz eine Erwerbstätigkeit ausgeübt, ohne über eine entsprechende Bewilligung zu verfügen. Dies wird von ihm denn auch nicht bestritten. In der Einvernahme vom 15. August 2019 gab der Beschwerdeführer sogar an, dass er im März 2019 einige Tage in der Schweiz gearbeitet habe. Aus den Akten geht zudem hervor, dass anlässlich der Personenkontrolle vom 15. August 2019 in den persönlichen Effekten des Beschwerdeführers Werkzeug, Arbeitskleidung und ein AHV-Ausweis aufgefunden wurden. Im Übrigen hat der Beschwerdeführer für den Zeitraum vom 20. Mai 2019 bis zum 15. August 2019 einen Antrag für eine Arbeitsbewilligung gestellt, welcher jedoch abgelehnt wurde. Seine anlässlich der Einvernahme vom 15. August 2019 getätigte Aussage, wonach er lediglich zu Urlaubszwecken in die Schweiz gereist sei, ist als Schutzbehauptung zu werten. Es ist folglich erstellt, dass der Beschwerdeführer sowohl am 15. August 2019 als auch während einigen Tagen im März 2019 in der Schweiz erwerbstätig war, ohne über die erforderliche ausländerrechtliche Bewilligung zu verfügen (Art. 11 Abs. 1 AIG). Damit hat der Beschwerdeführer gemäss Art. 67 Abs. 2 Bst. a AIG gegen die öffentliche Sicherheit und Ordnung verstossen und folglich einen hinreichenden Grund für die Verhängung eines Einreiseverbots gesetzt.</w:t>
      </w:r>
    </w:p>
    <w:p>
      <w:r>
        <w:rPr>
          <w:b/>
        </w:rPr>
        <w:t>E. 5.5</w:t>
      </w:r>
    </w:p>
    <w:p>
      <w:r>
        <w:t>Es bleibt zu prüfen, ob die Dauer des Einreiseverbots in richtiger Ausübung des Ermessens ergangen und angemessen ist. Unter dem Gesichtspunkt der Verhältnismässigkeit ist eine wertende Abwägung vorzunehmen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Häfelin/Müller/Uhlmann, Allgemeines Verwaltungsrecht, 8. Aufl. 2020, Rz. 555 ff.).</w:t>
      </w:r>
    </w:p>
    <w:p>
      <w:r>
        <w:rPr>
          <w:b/>
        </w:rPr>
        <w:t>E. 5.6</w:t>
      </w:r>
    </w:p>
    <w:p>
      <w:r>
        <w:t>Das öffentliche Interesse an einer befristeten Fernhaltung der betroffenen Person ist aus generalpräventiver Sicht von Bedeutung. Ein Einreiseverbot soll andere Ausländerinnen und Ausländer angesichts der nachteiligen Folgen dazu anhalten, sich an die ausländerrechtliche Ordnung des Gastlandes zu halten. Andererseits ist eine spezialpräventive Zielsetzung der Massnahme darin zu sehen, dass sie die Betroffenen ermahnt, sich inskünftig an die geltenden Regeln zu halten (Urteile des BVGer F-3963/2020 vom 10. Januar 2021 E. 6.3.1; F-5519/2015 vom 12. Juni 2017 E. 6.2). Der Beschwerdeführer hat in der Schweiz eine Erwerbstätigkeit ausgeübt, ohne über die entsprechende ausländerrechtliche Bewilligung zu verfügen. Er hat damit gegen die öffentliche Sicherheit und Ordnung verstossen. Es besteht demnach ein general- und spezialpräventiv motiviertes Interesse an seiner Fernhaltung. In diesem Zusammenhang ist auch zu berücksichtigen, dass der Beschwerdeführer seit Erlass des Einreiseverbots zwei Strafbefehle erwirkt hat (vgl. Sachverhalt Bst. D und I). Vor diesem Hintergrund lässt der Beschwerdeführer eine Geringschätzung fundamentaler ausländerrechtlicher Bestimmungen erkennen. Das öffentliche Interesse an einer Fernhaltung des Beschwerdeführers ist evident.</w:t>
      </w:r>
    </w:p>
    <w:p>
      <w:r>
        <w:rPr>
          <w:b/>
        </w:rPr>
        <w:t>E. 5.7</w:t>
      </w:r>
    </w:p>
    <w:p>
      <w:r>
        <w:t>Der Beschwerdeführer führt keine privaten Interessen an, die für eine Reduktion des Einreiseverbots sprechen würden. Es sind denn auch keine privaten Interessen ersichtlich, welche das öffentliche Interesse an seiner Fernhaltung überwiegen könnten.</w:t>
      </w:r>
    </w:p>
    <w:p>
      <w:r>
        <w:rPr>
          <w:b/>
        </w:rPr>
        <w:t>E. 5.8</w:t>
      </w:r>
    </w:p>
    <w:p>
      <w:r>
        <w:t>Zusammenfassend ist festzuhalten, dass das vorliegende Einreiseverbot sowohl im Grundsatz als auch hinsichtlich der Dauer eine verhältnismässige und angemessene Massnahme zum Schutz der öffentlichen Sicherheit und Ordnung darstellt. Das verhängte Einreiseverbot entspricht denn auch der Praxis des Bundesverwaltungsgerichts in vergleichbaren Fällen, wobei darauf hinzuweisen ist, dass das Bundesverwaltungsgericht sogar dreijährige Einreiseverbote des SEM im Zusammenhang mit illegaler Erwerbstätigkeit von geringfügiger Art bestätigt hat (vgl. Urteil F-5785/2019 vom 30. April 2020 E. 7.4 m.H.).</w:t>
      </w:r>
    </w:p>
    <w:p>
      <w:r>
        <w:rPr>
          <w:b/>
        </w:rPr>
        <w:t>E. 6</w:t>
      </w:r>
    </w:p>
    <w:p>
      <w:r>
        <w:t>Aus den vorstehenden Erwägungen ergibt sich, dass die angefochtene Verfügung im Lichte von Art. 49 VwVG nicht zu beanstanden ist. Die Beschwerde ist demzufolge abzuweisen.</w:t>
      </w:r>
    </w:p>
    <w:p>
      <w:r>
        <w:rPr>
          <w:b/>
        </w:rPr>
        <w:t>E. 7</w:t>
      </w:r>
    </w:p>
    <w:p>
      <w:r>
        <w:t>Entsprechend dem Ausgang des Verfahrens sind die Kosten in der Höhe von Fr. 1'000.- dem Beschwerdeführer aufzuerlegen (Art. 63 Abs. 1 VwVG i.V.m. Art. 1 ff. des Reglements vom 21. Februar 2008 über die Kosten und Entschädigungen vor dem Bundesverwaltungsgericht [VGKE, SR 173.320.2]). Sie sind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