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F-445/2019 vom 14. Februar 2019</w:t>
      </w:r>
    </w:p>
    <w:p>
      <w:r>
        <w:t>Bundesverwaltungsgericht, 2019-02-14, DE</w:t>
      </w:r>
    </w:p>
    <w:p>
      <w:r>
        <w:rPr>
          <w:b/>
        </w:rPr>
        <w:t xml:space="preserve">Quelle: </w:t>
      </w:r>
      <w:r>
        <w:t>https://mcp.opencaselaw.ch/entscheid/bvger_F-445_2019</w:t>
      </w:r>
    </w:p>
    <w:p>
      <w:r>
        <w:t>FR: TAF F-445/2019 du 14 février 2019</w:t>
      </w:r>
    </w:p>
    <w:p>
      <w:r>
        <w:t>IT: TAF F-445/2019 del 14 febbraio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des SEM nach Art. 5 VwVG (Art. 105 AsylG i.V.m. Art. 31 ff. VGG;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Die Beschwerde erweist sich, wie nachfolgend aufgezeigt wird, als offensichtlich unbegründet, weshalb darüber in einzelrichterlicher Zuständigkeit mit Zustimmung eines zweiten Richters oder einer zweiten Richterin zu entscheiden (Art. 111 Bst. e AsylG) und der Beschwerdeentscheid nur summarisch zu begründen ist (Art. 111a Abs. 2 AsylG). Gestützt auf Art. 111a Abs. 1 AsylG wurde auf einen Schriftenwechsel verzichtet.</w:t>
      </w:r>
    </w:p>
    <w:p>
      <w:r>
        <w:rPr>
          <w:b/>
        </w:rPr>
        <w:t>E. 2.2</w:t>
      </w:r>
    </w:p>
    <w:p>
      <w:r>
        <w:t>Mit Beschwerde kann die Verletzung von Bundesrecht (einschliesslich Missbrauch und Überschreiten des Ermessens) sowie die unrichtige oder unvollständige Feststellung des rechtserheblichen Sachverhalts gerügt werden (Art. 106 Abs. 1 AsylG). Asylsuchende können sich in Beschwerdeverfahren gegen Überstellungsentscheidungen auf die richtige Anwendung sämtlicher objektiver Zuständigkeitskriterien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berufen (vgl. BVGE 2017 VI/9 E. 5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der Dublin-III-VO.</w:t>
      </w:r>
    </w:p>
    <w:p>
      <w:r>
        <w:rPr>
          <w:b/>
        </w:rPr>
        <w:t>E. 3.2</w:t>
      </w:r>
    </w:p>
    <w:p>
      <w:r>
        <w:t>Gemäss Art. 3 Abs. 1 Dublin-III-VO wird jeder Asylantrag von einem einzigen Mitgliedstaat geprüft, der nach den Kriterien des Kapitels III der Dublin-III-VO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4.1</w:t>
      </w:r>
    </w:p>
    <w:p>
      <w:r>
        <w:t>Besitzt der Antragsteller ein Visum, das seit weniger als sechs Monaten abgelaufen ist und aufgrund dessen er in das Hoheitsgebiet eines Mitgliedstaates einreisen konnte, so ist der Mitgliedstaat, der das Visum erteilt hat, für die Prüfung seines Antrags auf internationalen Schutz zuständig, solange der Antragsteller das Hoheitsgebiet der Mitgliedstaaten nicht verlassen hat (Art. 12 Abs. 4 i.V.m. Art. 12 Abs. 2 Dublin-III-VO).</w:t>
      </w:r>
    </w:p>
    <w:p>
      <w:r>
        <w:rPr>
          <w:b/>
        </w:rPr>
        <w:t>E. 4.2</w:t>
      </w:r>
    </w:p>
    <w:p>
      <w:r>
        <w:t>Die Beschwerdeführenden bestreiten nicht, ein von der polnischen Vertretung in Jordanien ausgestelltes, vom 25. Juni 2018 bis zum 8. Juli 2018 gültiges Schengen-Visum gehabt zu haben, mit dem sie in das Hoheitsgebiet der Mitgliedstaaten einreisen konnten. Im Zeitpunkt der Erstantragstellung in der Schweiz am 9. Oktober 2018 war das Visum somit seit weniger als sechs Monaten abgelaufen, weshalb Polen gestützt auf Art. 12 Abs. 4 in Verbindung mit Art. 12 Abs. 2 Dublin-III-VO für die Durchführung des Asyl- und Wegweisungsverfahrens grundsätzlich zuständig und zur Aufnahme der Beschwerdeführenden verpflichtet ist (Art. 18 Abs. 1 Bst. a i.V.m. Art. 21, 22 und 29 Dublin-III-VO).</w:t>
      </w:r>
    </w:p>
    <w:p>
      <w:r>
        <w:rPr>
          <w:b/>
        </w:rPr>
        <w:t>E. 5</w:t>
      </w:r>
    </w:p>
    <w:p>
      <w:r>
        <w:t>Die Beschwerdeführenden behaupten demgegenüber ein Abhängigkeitsverhältnis im Sinne von Art. 16 Abs. 1 Dublin-III-VO und eine daraus abzuleitende Zuständigkeit der Schweiz.</w:t>
      </w:r>
    </w:p>
    <w:p>
      <w:r>
        <w:rPr>
          <w:b/>
        </w:rPr>
        <w:t>E. 5.1</w:t>
      </w:r>
    </w:p>
    <w:p>
      <w:r>
        <w:t>Ist ein Antragsteller wegen schwerer Krankheit, ernsthafter Behinderung oder hohen Alters auf die Unterstützung seines Kindes, das sich rechtmässig in einem Mitgliedstaat aufhält, angewiesen, so entscheiden die Mitgliedstaaten in der Regel, den Antragsteller und dieses Kind nicht zu trennen beziehungsweise sie zusammenzuführen, sofern die familiäre Bindung bereits im Herkunftsland bestanden hat, das Kind in der Lage ist, die abhängige Person zu unterstützen und die betroffenen Personen ihren Wunsch schriftlich kundgetan haben (Art. 16 Abs. 1 Dublin-III-VO).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E-3970/2018 vom 20. Juli 2018 E. 4.3; F-2090/2018 vom 5. Juli 2018 E. 3.6; je m.w.H.).</w:t>
      </w:r>
    </w:p>
    <w:p>
      <w:r>
        <w:rPr>
          <w:b/>
        </w:rPr>
        <w:t>E. 5.2</w:t>
      </w:r>
    </w:p>
    <w:p>
      <w:r>
        <w:t>Zur Bewertung der Hilfsbedürftigkeit von Familienangehörigen sind nach Möglichkeit objektive Schriftstücke heranzuziehen. Sind diese nicht verfügbar oder können diese nicht beigebracht werden, kann das Vorliegen humanitärer Gründe nur dann als gegeben angesehen werden, wenn die Beteiligten dies durch entsprechende Angaben glaubhaft machen können (Art. 11 Abs. 2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w:t>
      </w:r>
    </w:p>
    <w:p>
      <w:r>
        <w:rPr>
          <w:b/>
        </w:rPr>
        <w:t>E. 5.3</w:t>
      </w:r>
    </w:p>
    <w:p>
      <w:r>
        <w:t>Die Beschwerdeführenden lassen unter Berufung auf Art. 16 Abs. 1 Dublin-III-VO geltend machen, sie seien wegen schwerer Krankheit und aufgrund hohen Alters auf die Unterstützung durch ihren in der Schweiz lebenden Sohn angewiesen. Der Beschwerdeführer sei 74, die Beschwerdeführerin 63 Jahre alt, was in Anbetracht der allgemeinen Lebenserwartung im Irak als sehr alt gelte. Beide Beschwerdeführenden litten unter körperlichen und psychischen Beeinträchtigungen. Aufgrund ihres allgemeinen gesundheitlichen Zustandes habe die Vorinstanz ihnen erlaubt, zu ihrem Sohn in den Kanton Freiburg zu ziehen. Aus traditioneller orientalischer Gepflogenheit übernehme normalerweise der älteste Sohn die Pflege der Eltern. Im Irak hätten sie mit diesem zusammengelebt, seien durch die Flucht jedoch getrennt worden. Der Sohn lebe nun seit 2009 in der Schweiz, sei verheiratet, Vater einer Tochter und habe seinen Eltern ein Zimmer in seiner Wohnung zur Verfügung gestellt. Nach Umzug der Familie in deren neues Einfamilienhaus könnten die Eltern darin eine Einliegerwohnung beziehen. Somit habe der Sohn die Möglichkeit, sie zu unterstützen und zu betreuen. Er bringe sie zum Arzt oder zu Behörden und stehe ihnen als Dolmetscher bei. Für sie sei es aufgrund ihres hohen Alters und ihres Gesundheitszustandes unvorstellbar, wieder von ihrem Sohn getrennt zu werden. Die Vorstellung, alleine nach Polen zu reisen, sei für sie unerträglich.</w:t>
      </w:r>
    </w:p>
    <w:p>
      <w:r>
        <w:rPr>
          <w:b/>
        </w:rPr>
        <w:t>E. 5.4</w:t>
      </w:r>
    </w:p>
    <w:p>
      <w:r>
        <w:t>Die Beschwerdeführenden wurden einer ärztlichen Untersuchung unterzogen, deren Ergebnis sie nicht in Frage stellen. Gemäss dem Bericht vom 14. November 2018 wurden bei der 62-jährigen Beschwerdeführerin eine Tendovaginitis stenosans am rechten Mittelfinger (Entzündung der Sehnen oder der Sehnenscheiden [vgl. Pschyrembel, Klinisches Wörterbuch 2013, 264. Aufl. 2012, S. 2065]), Nackenschmerzen, eine Sehstörung am rechten Auge mit mouches volantes (störende, mückenartig erscheinende Wahrnehmungen im Sichtfeld, vor allem auf hellblauem Hintergrund [vgl. Pschyrembel, S. 759 f. und S. 1360]) sowie eine psychische Belastung mit nächtlichen Albträumen und eine unklare chronische Diarrhoe diagnostiziert. Die untersuchende Ärztin empfahl die Einleitung einer Psychotherapie, Abklärungen durch einen Magen-Darm-Spezialisten und einen Augenarzt sowie eine hausärztliche Behandlung und Schmerzmittel in Reserve (vgl. SEM-act. A16). Beim 73-jährigen Beschwerdeführer stellte die untersuchende Ärztin eine Diabetes mellitus Typ II unter oralen Antidiabetika, eine Hypercholesterinämie, eine Hiatushernie ("Zwerchfellbruch") mit Magengeschwür im November 2017, eine psychische Problematik mit Angst und körperlichen Symptomen wie Durchfall, sowie anamnestisch eine Hepatitis B, bei aktuell normalen Leberwerten fest. Sie empfahl eine medikamentöse Behandlung der Beschwerden (Antidiabetika, Cholesterinsenker und Magensäureblocker) sowie eine ärztliche Kontrolle alle drei bis sechs Monate, unter Gewährung von Zugang zu spezialärztlicher Behandlung (SEM-act. A15).</w:t>
      </w:r>
    </w:p>
    <w:p>
      <w:r>
        <w:rPr>
          <w:b/>
        </w:rPr>
        <w:t>E. 5.5</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Vorliegend ist nicht zu bestreiten, dass zumindest der Beschwerdeführer fortgeschrittenen Alters ist und dass beide Beschwerdeführende diverse gesundheitliche Beeinträchtigungen haben. Letztere gehen jedoch nicht wesentlich über das normale Mass hinaus und sind altersentsprechend nicht aussergewöhnlich (Koehler, Art. 16 N. 7). Es ist bei keinem der Beschwerdeführenden auf eine schwere Krankheit, geschweige denn auf eine ernsthafte Behinderung im Sinne von Art. 16 Abs. 1 Dublin-III-VO zu schliessen. Fachärztlich wurde zwar festgestellt, dass die Beschwerdeführenden gewisse medizinische Dienstleistungen benötigten. Deren Sicherstellung bedingt aber nicht eine räumliche Nähe zum in der Schweiz ansässigen Sohn (vgl. Urteil des BVGer E-4744/2013 vom 1. Oktober 2013). Die von den Beschwerdeführenden angeführte Unterstützung bei Arztbesuchen und Behördengängen sowie die Dolmetscherdienste sind zwar als Erleichterung zu betrachten, begründen aber kein besonderes Abhängigkeitsverhältnis im Sinne von Art. 16 Abs. 1 Dublin-III-VO (vgl. Urteil des BVGer E-2919/2015 vom 7. Juli 2015 E. 8). Die Beschwerdeführenden sind für die Bewältigung ihrer gesundheitlichen Beeinträchtigungen oder ihres Alltags nicht auf eine notwendige und dauernde Unterstützung ihres Sohnes angewiesen (statt vieler: Urteile des BVGer E-4383/2018 vom 9. August 2018 E. 7.3; F-2090/2018 vom 5. Juli 2018 E. 3.10). Die potenzielle organisatorische und finanzielle Unterstützung durch ihren Sohn wäre für die Beschwerdeführenden sicherlich hilfreich, aber nicht notwendig. Es fehlt an einem eigentlichen Abhängigkeitsverhältnis. Daran vermögen auch die affektive Bindung zu ihrem Sohn und dessen Familie oder die kulturellen Gepflogenheiten nichts zu ändern (vgl. Urteil des BVGer E-5815/2015 vom 24. September 2015). Im Zusammenhang mit der Kantonszuweisung und dem Verbleib in der Nähe ihres Sohnes argumentieren die Beschwerdeführenden unter anderem sogar damit, dass sie die zeitweise Betreuung der Enkeltochter übernehmen könnten, da die Ehefrau ihres Sohnes wieder arbeiten wolle. Diese Intentionen stehen in einem offenen Widerspruch zum im Dublin-Verfahren geltend gemachten Mass an gesundheitlichen Beeinträchtigungen und Abhängigkeiten (vgl. Urteil des BVGer D-652/2015 vom 29. Mai 2015 E. 5.5). In Gesamtbetrachtung ihrer Lebenssituation erscheinen die Beschwerdeführenden nicht als derart verletzlich, dass die Zusammenführung respektive die Nicht-Trennung von ihrem Sohn als humanitäre Pflicht erscheinen würde (vgl. Filzwieser/Sprung, K3 zu Art. 16).</w:t>
      </w:r>
    </w:p>
    <w:p>
      <w:r>
        <w:rPr>
          <w:b/>
        </w:rPr>
        <w:t>E. 5.6</w:t>
      </w:r>
    </w:p>
    <w:p>
      <w:r>
        <w:t>Die Vorinstanz hat somit zu Recht ein Abhängigkeitsverhältnis der Beschwerdeführenden zu ihrem Sohn im Sinne von Art. 16 Abs. 1 Dublin-III-VO verneint. Aus dem Umstand, dass die Vorinstanz eine vorübergehende Privatunterbringung der Beschwerdeführenden bei deren Sohn genehmigte, können die Beschwerdeführenden nichts für sich ableiten. Das Einverständnis erfolgte unter dem expliziten Hinweis fehlender präjudizieller Wirkung für eine künftige Kantonszuteilung und damit auch für die Frage einer allfälligen Abhängigkeit im Sinne von Art. 16 Abs. 1 Dublin-III-VO (SEM-act. A2).</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Die Beschwerdeführenden bringen gegen eine Überstellung nach Polen vor, die polnische Regierung habe seit dem Wahlsieg der Partei ,Recht und Gerechtigkeit' im Oktober 2015 verschiedene Gesetzesänderungen in den Bereichen Justiz, Schulsystem und Medienlandschaft unternommen. Damit wolle man die politischen und religiösen Entwicklungen sowohl im Schulsystem als auch bei der Justiz, den Non-Profit-Organisationen sowie bei den Medien kontrollieren. Es herrsche ein Klima gegen anders Denkende. Die Europäische Kommission habe bereits 2017 ihre Befürchtung geäussert, dass die Unabhängigkeit des Verfassungsgerichts gefährdet sei. Seit 2015 lehne es die polnische Regierung ab, Flüchtlinge aus anderen Mitgliedstaaten der Europäischen Union aufzunehmen. Deshalb habe die Europäische Kommission im Dezember 2017 gegen Polen eine Klage wegen Vertragsverletzung beim Europäischen Gerichtshof eingereicht. Die politische Lage in Polen sei angespannt und es komme vermehrt zu ungeahndeten Übergriffen gegenüber Flüchtlingen.</w:t>
      </w:r>
    </w:p>
    <w:p>
      <w:r>
        <w:rPr>
          <w:b/>
        </w:rPr>
        <w:t>E. 6.3</w:t>
      </w:r>
    </w:p>
    <w:p>
      <w:r>
        <w:t>Soweit die Beschwerdeführenden mit diesen Vorbringen systemische Mängel im polnischen Asylverfahren rügen, sind sie darauf hinzuweisen,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(vgl. statt vieler: Urteil des BVGer D-5137/2018 vom 17. September 2018). Sodann darf davon ausgegangen werden, Polen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6.4</w:t>
      </w:r>
    </w:p>
    <w:p>
      <w:r>
        <w:t>Gestützt auf die von den Beschwerdeführenden geltend gemachte Sachlage ist nicht von einem konkreten und ernsthaften Risiko für eine Weigerung der polnischen Behörden auszugehen, sie aufzunehmen und ihren Antrag auf internationalen Schutz unter Einhaltung der Regeln der Verfahrensrichtlinie zu prüfen. 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wonach die Vorinstanz das Asylgesuch "aus humanitären Gründen" auch dann behandeln kann, wenn dafür gemäss Dublin-III-VO ein anderer Staat zuständig wäre.</w:t>
      </w:r>
    </w:p>
    <w:p>
      <w:r>
        <w:rPr>
          <w:b/>
        </w:rPr>
        <w:t>E. 7.2</w:t>
      </w:r>
    </w:p>
    <w:p>
      <w:r>
        <w:t>Die Beschwerdeführenden fordern aufgrund der Beziehung zu ihrem in der Schweiz lebenden Sohn und dessen Familie sowie aufgrund der von ihnen behaupteten Unterstützungsbedürftigkeit die Ausübung des Selbsteintrittsrechts gestützt auf die Bestimmungen von Art. 17 Abs. 1 Dublin-III-VO und von Art. 29a Abs. 3 AsylV 1.</w:t>
      </w:r>
    </w:p>
    <w:p>
      <w:r>
        <w:rPr>
          <w:b/>
        </w:rPr>
        <w:t>E. 7.2.1</w:t>
      </w:r>
    </w:p>
    <w:p>
      <w:r>
        <w:t>Diesbezüglich ist festzuhalten, dass Gründe, welche die zwingende Ausübung des Selbsteintrittsrechts gebieten würden, vorliegend nicht ersichtlich sind. Die Beschwerdeführenden machen nicht geltend, ihre gesundheitliche Situation stehe derzeit einer Überstellung nach Polen entgegen. Zu Recht berufen sich die Beschwerdeführenden auch nicht auf eine Verletzung von Art. 8 EMRK, zumal ihre Abhängigkeit von ihrem Sohn nicht über die üblichen familiären Beziehungen beziehungsweise emotionalen Bindungen hinausgeht (BGE 144 II 1 E. 6.1; 137 I 154 E. 3.4.2; 135 I 143 E. 3.1).</w:t>
      </w:r>
    </w:p>
    <w:p>
      <w:r>
        <w:rPr>
          <w:b/>
        </w:rPr>
        <w:t>E. 7.2.2</w:t>
      </w:r>
    </w:p>
    <w:p>
      <w:r>
        <w:t>Im Übrigen verfügt die Vorinstanz bei der Anwendung der Kann-Bestimmung von Art. 29a Abs. 3 AsylV 1 über einen Ermessensspielraum (vgl. BVGE 2015/9 E. 7 f.). Den Akten sind jedoch keine Hinweise auf einen Ermessensmissbrauch oder ein Über- respektive Unterschreiten des Ermessens zu entnehmen. Ein Grund für eine Anwendung der Ermessenklauseln von Art. 17 Dublin-III-VO besteht nicht.</w:t>
      </w:r>
    </w:p>
    <w:p>
      <w:r>
        <w:rPr>
          <w:b/>
        </w:rPr>
        <w:t>E. 8.1</w:t>
      </w:r>
    </w:p>
    <w:p>
      <w:r>
        <w:t>Somit bleibt Polen der für die Behandlung der Asylgesuche der Beschwerdeführenden zuständige Mitgliedstaat gemäss Dublin-III-VO. Polen ist verpflichtet, das Asylverfahren gemäss Art. 21, 22 und 29 aufzunehmen. Die Vorinstanz ist demnach zu Recht in Anwendung von Art. 31a Abs. 1 Bst. b AsylG auf das Asylgesuch der Beschwerdeführenden nicht eingetreten. Nicht einschlägig ist vorliegend Art. 31a Abs. 1 Bst. e AsylG. Einerseits handelt es sich dabei nicht um eine (positive) Zuständigkeitsbestimmung, sondern um einen Nichteintretenstatbestand. Andererseits sind die Beschwerdeführenden nicht im Besitz einer gültigen Aufenthalts- oder Niederlassungsbewilligung, weshalb ihnen ein Verbleib in der Schweiz verwehrt ist. Die Überstellung nach Polen wurde daher in Anwendung von Art. 44 AsylG ebenfalls zu Recht angeordnet (Art. 32 Abs. 1 Bst. a AsylV 1). Ohne Konsequenz bleibt schliesslich die Überschreitung der Ordnungsfrist von Art. 37 Abs. 1 AsylG durch die Vorinstanz. Die Beschwerde ist abzuweisen.</w:t>
      </w:r>
    </w:p>
    <w:p>
      <w:r>
        <w:rPr>
          <w:b/>
        </w:rPr>
        <w:t>E. 8.2</w:t>
      </w:r>
    </w:p>
    <w:p>
      <w:r>
        <w:t>Mit dem vorliegenden Urteil ist das Beschwerdeverfahren abgeschlossen, weshalb sich der Antrag auf Gewährung der aufschiebenden Wirkung als gegenstandslos erweist. Der am 25. Januar 2019 im Rahmen einer vorsorglichen Massnahme angeordnete Vollzugsstopp fällt mit dem vorliegenden Urteil dahin.</w:t>
      </w:r>
    </w:p>
    <w:p>
      <w:r>
        <w:rPr>
          <w:b/>
        </w:rPr>
        <w:t>E. 9.1</w:t>
      </w:r>
    </w:p>
    <w:p>
      <w:r>
        <w:t>Die mit der Beschwerde gestellten Gesuche um Gewährung der unentgeltlichen Prozessführung sowie amtliche Verbeiständung sind abzuweisen, da die Begehren - wie sich aus den vorstehenden Erwägungen ergibt - als aussichtslos zu bezeichnen waren, weshalb die Voraussetzungen von Art. 65 Abs. 1 und Abs. 2 VwVG nicht erfüllt sind.</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