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F-4445/2023 vom 24. April 2024</w:t>
      </w:r>
    </w:p>
    <w:p>
      <w:r>
        <w:t>Bundesverwaltungsgericht, 2024-04-24, FR</w:t>
      </w:r>
    </w:p>
    <w:p>
      <w:r>
        <w:rPr>
          <w:b/>
        </w:rPr>
        <w:t xml:space="preserve">Quelle: </w:t>
      </w:r>
      <w:r>
        <w:t>https://mcp.opencaselaw.ch/entscheid/bvger_F-4445_2023</w:t>
      </w:r>
    </w:p>
    <w:p>
      <w:r>
        <w:t>FR: TAF F-4445/2023 du 24 avril 2024</w:t>
      </w:r>
    </w:p>
    <w:p>
      <w:r>
        <w:t>IT: TAF F-4445/2023 del 24 aprile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F-4445/2023 Page 4</w:t>
      </w:r>
    </w:p>
    <w:p>
      <w:r>
        <w:rPr>
          <w:b/>
        </w:rPr>
        <w:t>E. 3.1</w:t>
      </w:r>
    </w:p>
    <w:p>
      <w:r>
        <w:t>La politique des autorités suisses en matière de visa joue un rôle très important dans la prévention de l'immigration clandestine (cf. Message du Conseil fédéral du 8 mars 2002 concernant la loi sur les étrangers [ci-après : Message LEtr], FF 2002 3469, 3493, ch. 1.2.6). Aussi, celles-ci ne peuvent accueillir tous les étrangers qui désirent venir en Suisse,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w:t>
      </w:r>
    </w:p>
    <w:p>
      <w:r>
        <w:rPr>
          <w:b/>
        </w:rPr>
        <w:t>E. 3.3</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w:t>
      </w:r>
    </w:p>
    <w:p>
      <w:r>
        <w:rPr>
          <w:b/>
        </w:rPr>
        <w:t>E. 4.1</w:t>
      </w:r>
    </w:p>
    <w:p>
      <w:r>
        <w:t>Les dispositions sur la procédure en matière de visa, ainsi que sur l’entrée en Suisse et la sortie de ce pays, ne s’appliquent que dans la</w:t>
      </w:r>
    </w:p>
    <w:p>
      <w:r>
        <w:t>F-4445/2023 Page 5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w:t>
      </w:r>
    </w:p>
    <w:p>
      <w:r>
        <w:rPr>
          <w:b/>
        </w:rPr>
        <w:t>E. 4.2</w:t>
      </w:r>
    </w:p>
    <w:p>
      <w:r>
        <w:t>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23.03.2016, modifié par le règlement [UE] 2017/458, JO L 74 du 18.03.2017).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 En vertu de l'art. 32 par. 1 let. b du code des visas, un visa doit notamment être refusé s’il existe des doutes raisonnables sur la fiabilité des déclarations du demandeur ou sur sa volonté de quitter le territoire des Etats membres avant l’expiration du visa demandé.</w:t>
      </w:r>
    </w:p>
    <w:p>
      <w:r>
        <w:rPr>
          <w:b/>
        </w:rPr>
        <w:t>E. 4.3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w:t>
      </w:r>
    </w:p>
    <w:p>
      <w:r>
        <w:t>F-4445/2023 Page 6 possession de biens immobiliers et de toute preuve de l'intégration dans le pays de résidence (liens de parenté et situation professionnelle).</w:t>
      </w:r>
    </w:p>
    <w:p>
      <w:r>
        <w:rPr>
          <w:b/>
        </w:rPr>
        <w:t>E. 4.4</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w:t>
      </w:r>
    </w:p>
    <w:p>
      <w:r>
        <w:rPr>
          <w:b/>
        </w:rPr>
        <w:t>E. 4.5</w:t>
      </w:r>
    </w:p>
    <w:p>
      <w:r>
        <w:t>Le règlement (UE) 2018/1806 du Parlement européen et du Conseil du 14 novembre 2018 (JO L 303 du 28 novembre 2018, p. 39-58) fixant la liste des pays tiers dont les ressortissants sont soumis à l'obligation de visa pour franchir les frontières extérieures des Etats membres et la liste de ceux dont les ressortissants sont exemptés de cette obligation différencie, en ses art. 1 et 3, les ressortissants des Etats tiers selon qu'ils sont soumis ou non à l'obligation du visa (cf. art.8 al. 1 OEV). En tant que ressortissant iranien, le recourant est soumis à l’obligation de visa (cf. annexe I du règlement (UE) 2018/1806).</w:t>
      </w:r>
    </w:p>
    <w:p>
      <w:r>
        <w:rPr>
          <w:b/>
        </w:rPr>
        <w:t>E. 5.1</w:t>
      </w:r>
    </w:p>
    <w:p>
      <w:r>
        <w:t>Dans la décision attaquée, le SEM a retenu que la sortie de l'Espace Schengen à l’échéance du visa requis ne pouvait pas être suffisamment garantie compte tenu de la situation personnelle du requérant ainsi que de la situation socio-économique prévalant en Iran. En outre, le SEM a estimé que la demande de visa Schengen déposée par le recourant était constitutive d’un abus de droit au vu du refus de sa précédente demande d’autorisation de séjour pour études.</w:t>
      </w:r>
    </w:p>
    <w:p>
      <w:r>
        <w:rPr>
          <w:b/>
        </w:rPr>
        <w:t>E. 5.2</w:t>
      </w:r>
    </w:p>
    <w:p>
      <w:r>
        <w:t>Dans son recours du 16 août 2023, le recourant invoque la violation des art. 5 LEI, 32 du code des visas et 6 du code frontières Schengen, un abus du pouvoir d'appréciation, l’appréciation inexacte ou incomplète des faits pertinents, la violation du principe de la proportionnalité ainsi que l’interdiction de l’arbitraire. Il reproche au SEM de ne pas avoir démontré l’existence de doutes raisonnables quant à sa volonté de quitter la Suisse à l’échéance du visa sollicité. Il considère remplir toutes les conditions pour l’obtention d’un visa Schengen. Il allègue notamment qu’il souhaite participer à quelques cours et exercices pratiques dans le cadre de la</w:t>
      </w:r>
    </w:p>
    <w:p>
      <w:r>
        <w:t>F-4445/2023 Page 7 formation « LLM in Compliance » organisée de manière hybride par l’Université de Fribourg, que sa situation socio-économique n’est pas « comparable à la moyenne » de la population, qu’il a des attaches professionnelles et familiales en Iran, que ce pays ne connaît pas une situation de guerre ou de violence généralisée et qu’il n’est pas visé par les mesures de rétorsion du gouvernement. Il conteste également l’existence d’un abus de droit. Selon lui, sa démarche attesterait de sa motivation à suivre la formation concernée et non d’une intention d’éluder les prescriptions du droit des étrangers.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 arrêt du Tribunal 2035/2022 du 10 juillet 2023 consid. 6.2).</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w:t>
      </w:r>
    </w:p>
    <w:p>
      <w:r>
        <w:t>F-4445/2023 Page 8 souvent incompatibles avec le but et l'esprit d'une autorisation d'entrée limitée dans le temps (cf. ATAF 2014/1 précité ibid. ; arrêt du Tribunal 2035/2022 du 10 juillet 2023 consid. 6.3).</w:t>
      </w:r>
    </w:p>
    <w:p>
      <w:r>
        <w:rPr>
          <w:b/>
        </w:rPr>
        <w:t>E. 6.4</w:t>
      </w:r>
    </w:p>
    <w:p>
      <w:r>
        <w:t>D’emblée, il s’impose en l’espèce de relever que le recourant, nonobstant le refus de sa demande d’autorisation de séjour de 2021, a déposé en 2022 − alors que la procédure de recours était encore pendante − une demande de visa Schengen pour suivre une partie de la même formation visée dans sa demande de 2021. Le recourant cherche ainsi à obtenir, par le biais de sa demande de visa Schengen, le résultat qui lui a été refusé dans le contexte de sa demande initiale d’autorisation de séjour. La démarche apparaît dès lors effectivement abusive comme l’a retenu le SEM. En outre, il convient de souligner que le recourant allègue qu’il prévoit de séjourner en suisse pendant 31 jours sur une période totale de 4 mois (cf. observations du 4 décembre 2023). A cet égard, le Tribunal soulève que si le recourant s’appuie certes sur le fait qu’il « a été admis à accomplir sa première année en présentiel et e-learning » (cf. opposition du 21 septembre 2022, ch. 3.5), il ressort du courrier du 27 juin 2022 établi par le directeur exécutif de l’Université de Fribourg que les cours et les exercices étaient prévus « en présentiel » du 19 septembre au 16 décembre 2022. Dans ces circonstances, c’est à juste titre que le SEM a retenu que la sortie de l’Espace Schengen du recourant à l’échéance du visa sollicité n’était pas garantie (cf. dans ce contexte arrêt du TAF F-3685/2022 du 8 janvier 2024 consid. 5.6).</w:t>
      </w:r>
    </w:p>
    <w:p>
      <w:r>
        <w:rPr>
          <w:b/>
        </w:rPr>
        <w:t>E. 6.5</w:t>
      </w:r>
    </w:p>
    <w:p>
      <w:r>
        <w:t>Par surabondance de moyens, le Tribunal souligne que la situation socio-économique prévalant en Iran est loin d’être bonne, ce pays étant en profonde récession. Le pays connaît en effet une forte inflation et un taux de chômage élevé en raison des sanctions internationales et de la forte dépendance des exportations de pétrole. Depuis la mi-septembre 2022, des manifestations contre le gouvernement ont lieu régulièrement dans de nombreuses villes. De nombreuses personnes ont été tuées ou blessées lors de débordements et d'affrontements violents entre forces de l'ordre et manifestants. La situation économique difficile et des tensions latentes débouchent également périodiquement sur des manifestations, par exemple à cause des hausses de prix ou à l’occasion de fêtes locales (religieuses) et de commémorations. Le risque d’attentats est réel dans tout le pays. En octobre 2022 et en août 2023 , plusieurs personnes ont été tuées ou blessées lors d’attentats contre le sanctuaire Shah Cheragh</w:t>
      </w:r>
    </w:p>
    <w:p>
      <w:r>
        <w:t>F-4445/2023 Page 9 à Shiraz. Le 3 janvier 2024, un attentat perpétré lors d'une cérémonie commémorative dans la ville de Kerman a couté la vie à environ 100 personnes et fait de nombreux blessés (cf. Conseils aux voyageurs – Iran, publié sur le site du Département fédéral des affaires étrangères : www.dfae.admin.ch &gt; Conseils aux voyageurs et représentations &gt; Iran &gt; Conseils aux voyageurs – Iran, site consulté en mars 2024). Les conditions précitées exercent ainsi une pression migratoire importante sur la population. Ainsi, il ne saurait être fait abstraction du risque d'une éventuelle prolongation par l’intéressé de son séjour sur le territoire helvétique au-delà de la durée de validité de son visa.</w:t>
      </w:r>
    </w:p>
    <w:p>
      <w:r>
        <w:rPr>
          <w:b/>
        </w:rPr>
        <w:t>E. 6.6</w:t>
      </w:r>
    </w:p>
    <w:p>
      <w:r>
        <w:t>Pour le surplus et en tant que nécessaire, le Tribunal constate que le recourant ne semble pas bénéficier d’attaches professionnelles, patrimoniales ou personnelles suffisantes dans son pays. S’agissant de sa situation professionnelle, le recourant a certes indiqué dans le formulaire de demande de visa Schengen qu’il exerçait une activité lucrative en qualité de « project manger ». Les documents qu’il a produits dans ce contexte sont toutefois dénués de tout effet contraignant et ne sauraient dès lors être considérés comme garantissant son retour dans son pays d’origine. Quant à la situation financière du recourant, le Tribunal observe qu’une partie du montant dont ce dernier allègue disposer appartient à son épouse et qu’aucune information précise n’a été fournie au sujet des revenus perçus au cours des dernières années. S’agissant des deux appartements dont le recourant allègue être propriétaire, le Tribunal relève que les biens immobiliers ne sont souvent pas de nature à garantir le retour de la personne concernée dans son pays, ce d’autant moins que la gestion de ces biens peut généralement être confiée à d'autres membres de la famille ou à des tiers (cf. arrêt du TAF F-3858/2018 du 12 décembre 2019 consid. 6.3.1). Sur un plan personnel enfin, le recourant est âgé de 51 ans, marié et père d’une fille âgée d’un peu plus de 8 ans. Si de tels liens familiaux sont certes généralement de nature à inciter une personne à retourner dans sa patrie au terme d’un séjour à l’étranger, il sied cependant de relever que le risque migratoire apparaît d’autant plus important en l’espèce que le recourant, simultanément à sa demande d’autorisation de séjour du 14 mars 2021, avait sollicité des autorisations de séjour au titre du regroupement familial pour son épouse et sa fille.</w:t>
      </w:r>
    </w:p>
    <w:p>
      <w:r>
        <w:t>F-4445/2023 Page 10 Ces circonstances ne peuvent que renforcer les doutes émis par le SEM quant à une sortie ponctuelle de l’intéressé de l’Espace Schengen à l’échéance du visa sollicité. A cet égard, peu importe par ailleurs que le recourant ait par le passé obtenu des visas Schengen, dans la mesure où selon la jurisprudence, chaque demande fait l'objet d'un examen individuel et actualisé (cf. arrêt du TAF F-4450/2022 du 6 février 2017 consid. 7.5.4 du 6 avril 2023).</w:t>
      </w:r>
    </w:p>
    <w:p>
      <w:r>
        <w:rPr>
          <w:b/>
        </w:rPr>
        <w:t>E. 6.7</w:t>
      </w:r>
    </w:p>
    <w:p>
      <w:r>
        <w:t>A noter que la caution de 58'000.- francs déposée par le recourant dans le cadre de sa demande d’autorisation de séjour en 2021 et maintenue lors de sa demande de visa Schengen ne saurait représenter une garantie suffisante pour assurer le départ effectif de la personne concernée dans les délais prévus. Ainsi, si de tels engagements sont certes pris en considération pour apprécier si un visa peut (ou non) être accordé, ils ne sauraient être tenus pour décisifs, car ils ne permettent pas d’exclure l’éventualité que la personne requérante (qui conserve seule la maîtrise de ses actes), une fois en Suisse, prenne la décision de s’y installer durablement en entrant dans la clandestinité ou en entreprenant des démarches administratives afin d’y prolonger son séjour (cf. arrêts du TAF F-5274/2022 du 24 avril 2023 consid. 6.3 ; F-1218/2022 du 29 novembre 2022 consid. 8, arrêt dans lequel il était question d’une caution de 1'000'000 francs).</w:t>
      </w:r>
    </w:p>
    <w:p>
      <w:r>
        <w:rPr>
          <w:b/>
        </w:rPr>
        <w:t>E. 6.8</w:t>
      </w:r>
    </w:p>
    <w:p>
      <w:r>
        <w:t>Enfin, le Tribunal estime que l’intérêt privé du recourant à suivre une formation continue en Suisse n’est pas de nature à contrebalancer l’important risque migratoire inhérent au cas particulier, ce d’autant moins que le recourant est déjà au bénéfice d’un diplôme Bac+4 en ingénierie mécanique et d’une expérience professionnelle de plus de 20 ans, a occupé des postes de cadre avec de larges responsabilités dans la direction et la gestion de projets internationaux, a déjà été en mesure d'entamer certaines démarches pour lancer son activité d'indépendant et enfin, a la possibilité de suivre des formations similaires dans son pays de provenance.</w:t>
      </w:r>
    </w:p>
    <w:p>
      <w:r>
        <w:rPr>
          <w:b/>
        </w:rPr>
        <w:t>E. 6.9</w:t>
      </w:r>
    </w:p>
    <w:p>
      <w:r>
        <w:t>Dans ces circonstances, le Tribunal ne saurait reprocher au SEM d’avoir violé le droit et, en particulier, d’avoir abusé de son pouvoir d’appréciation, d’avoir versé dans l’arbitraire ou encore d’avoir violé le principe de la proportionnalité. C’est, ainsi, à bon droit que le SEM a confirmé le refus d’autorisation d’entrée dans l’Espace Schengen à l’égard de l’intéressé.</w:t>
      </w:r>
    </w:p>
    <w:p>
      <w:r>
        <w:t>F-4445/2023 Page 11</w:t>
      </w:r>
    </w:p>
    <w:p>
      <w:r>
        <w:rPr>
          <w:b/>
        </w:rPr>
        <w:t>E. 6.10</w:t>
      </w:r>
    </w:p>
    <w:p>
      <w:r>
        <w:t>Pour le surplus, le Tribunal constate que le dossier ne laisse pas apparaître de motifs susceptibles de justifier la délivrance d'un visa à validité territoriale limitée en faveur du recourant (cf. supra, consid. 4.3).</w:t>
      </w:r>
    </w:p>
    <w:p>
      <w:r>
        <w:rPr>
          <w:b/>
        </w:rPr>
        <w:t>E. 7</w:t>
      </w:r>
    </w:p>
    <w:p>
      <w:r>
        <w:t>Il s'ensuit que, par sa décision 23 juin 2023, le SEM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Celui-ci n’a, par ailleurs, pas droit à des dépens (art. 64 al. 1 PA a contrario). (dispositif page suivante)</w:t>
      </w:r>
    </w:p>
    <w:p>
      <w:r>
        <w:t>F-4445/2023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