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F-4429/2023 vom 21. August 2023</w:t>
      </w:r>
    </w:p>
    <w:p>
      <w:r>
        <w:t>Bundesverwaltungsgericht, 2023-08-21, FR</w:t>
      </w:r>
    </w:p>
    <w:p>
      <w:r>
        <w:rPr>
          <w:b/>
        </w:rPr>
        <w:t xml:space="preserve">Quelle: </w:t>
      </w:r>
      <w:r>
        <w:t>https://mcp.opencaselaw.ch/entscheid/bvger_F-4429_2023</w:t>
      </w:r>
    </w:p>
    <w:p>
      <w:r>
        <w:t>FR: TAF F-4429/2023 du 21 août 2023</w:t>
      </w:r>
    </w:p>
    <w:p>
      <w:r>
        <w:t>IT: TAF F-4429/2023 del 21 agosto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les recourants ont qualité pour recourir et que le recours a été présenté dans la forme et le délai prescrits. Celui-ci est dès lors recevable (art. 48 al. 1 et 52 al. 1 PA [RS 172.021], applicables par renvoi de l'art. 37 LTAF, et art. 108 al. 3 LAsi). Les recourants peuvent se prévaloir de la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 Face à des recours manifestement infondés, il statue dans une procédure à juge unique, avec l'approbation d'un second juge (art. 111 let. e LAsi), sans procéder à un échange d'écritures et sur la base d'une motivation sommaire (cf. art. 111a al. 1 et 2 LAsi). Or, comme on le verra ci-après, le présent recours doit être considéré comme étant manifestement infondé.</w:t>
      </w:r>
    </w:p>
    <w:p>
      <w:r>
        <w:rPr>
          <w:b/>
        </w:rPr>
        <w:t>E. 2</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celui-ci étant déterminé selon les critères fixés à son chapitre III. Dans une procédure de prise en charge (anglais : take charge) comme en l'espèce, les critères énumérés au chapitre III du règlement (art. 8 à 15) doivent être appliqués successivement (principe de l'application hiérarchique des critères de compétence, art. 7 par. 1 RD III). En particulier, lorsqu'il est établi que le demandeur est titulaire d'un visa en cours de validité, l'Etat membre qui l'a délivré est en principe responsable de l'examen de la demande de protection internationale (cf. art. 12 par. 2 RD III). Par ailleurs,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l'occurrence, les investigations entreprises par le SEM à la travers la consultation du système central européen d'information sur les visas (CS-VIS) et les déclarations des recourants ont révélé que ces derniers avaient obtenu un visa émis par les autorités espagnoles et valable du 24 juin au 16 juillet 2023 (cf. pces SEM 28 à 33 et 52 à 54). Les recourants ont fait usage de ce visa, le 4 juillet 2023, pour entrer en Espagne par avion, avant de se rendre en Suisse 3 jours plus tard, soit le 7 juillet 2023 pour y déposer leur demande d'asile (cf. procès-verbaux des entretiens Dublin du 26 juillet [pces SEM 52 à 54]). Le 26 juillet 2023, le SEM a soumis aux autorités espagnoles compétentes, dans le délai fixés par l'art. 21 par. 1 RD III, une requête aux fins de prise en charge fondée sur l'art. 12 par. 2 dudit règlement. Par communication du 4 août 2023, l'Espagne a expressément accepté la prise en charge des recourants et ainsi reconnu sa compétence pour traiter la demande d'asile de ceux-ci (cf. pces SEM 55 et 56). L'Espagne est ainsi en principe compétente pour traiter la demande d'asile des recourants, ce que ces derniers ne contestent d'ailleurs pas.</w:t>
      </w:r>
    </w:p>
    <w:p>
      <w:r>
        <w:rPr>
          <w:b/>
        </w:rPr>
        <w:t>E. 4</w:t>
      </w:r>
    </w:p>
    <w:p>
      <w:r>
        <w:t>Pour s'opposer à leur transfert, les recourants ont fait valoir leurs craintes de retourner en Espagne; ainsi, leurs visas étaient échus et ils redoutaient que les autorités espagnoles les renvoient automatiquement en Turquie - pays où le père risquait d'être arrêté et emprisonné et dans lequel ils avaient subi des persécutions. Du reste, et sans apporter plus d'éléments, ils ont soutenu que les enfants avaient subi de lourdes pressions psychologiques en Espagne et qu'ils ne voulaient pas y retourner car le but initial de leur voyage avait été de venir en Suisse. Cette argumentation appelle les considérants qui suivent. Selon une jurisprudence constance, il n'y a aucune sérieuse raison de croire qu'il existe, en Espagne, des défaillances systémiques dans le sens de l'art. 3 par. 2 2ème phrase du règlement Dublin III (cf., parmi d'autres, arrêt du TAF D-2990/2023 du 27 juin 2023 p. 8). Ce pays est ainsi présumé respecter les droits des requérants d'asile tels qu'ils découlent de la législation européenne. La question de savoir si cette présomption peut être renversée dans un cas concret relève de l'application de l'art. 17 par. 1 RD III. Cela étant force est de constater que les recourants n'ont fourni aucun élément concret susceptible de démontrer que l'Espagne ne respecterait pas le principe du non-refoulement, et donc faillirait à ses obligations internationales en les renvoyant dans un pays où leur vie, leur intégrité corporelle ou leur liberté seraient sérieusement menacées. En outre, rien ne permet de considérer que les autorités espagnoles refuseraient de mener à terme l'examen de leur demande de protection, une fois qu'ils l'auront déposée, en violation de la législation européenne. Du reste, les allégations des recourants en lien avec les prétendus pressions psychologiques subies par les enfants en Espagne demeurent vagues. Dans ce contexte, il convient de rappeler que le règlement Dublin III ne confère pas aux demandeurs d'asile le droit de choisir l'Etat membre offrant, à leur avis, les meilleures conditions d'accueil comme Etat responsable de l'examen de leur demande d'asile (cf. ATAF 2010/45 consid. 8.3). Finalement, pour ce qui est des motifs allégués liés aux persécutions subies en Turquie, ceux-ci n'entrent pas en considération dans le cadre de la présente procédure Dublin. En effet, seule est examinée la détermination de l'Etat membre responsable de la demande de protection internationale. S'agissant de l'état de santé des intéressés, on notera que seule une pièce médicale relative à la recourante 2 a été versée en cause. Selon ce rapport, la patiente souffrirait de céphalées primaires sans signes de gravité qui ne nécessitent pas une consultation neurologique urgente (pce SEM 45). Pour le reste, la famille a déclaré bien se porter sur le plan somatique. Sur le plan psychologique, les parents ont expliqué que leurs enfants étaient anxieux et avaient peur face à la perspective de leur transfert en Espagne (cf. pces SEM 52 à 54). À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Une telle constellation n'est manifestement pas donné en l'espèce, étant relevé que les intéressés n'ont plus fait mention de ces affections dans leur mémoire de recours. Par conséquent, il ressort de tout ce qui précède que le transfert des recourants vers l'Espagne n'est pas contraire aux obligations découlant de dispositions conventionnelles auxquelles la Suisse est liée et que le SEM a bien pris en compte les faits allégués par les intéressées,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5</w:t>
      </w:r>
    </w:p>
    <w:p>
      <w:r>
        <w:t>C'est dès lors à bon droit que le SEM n'est pas entré en matière sur la demande de protection des intéressés, en application de l'art. 31a al. 1 let. b LAsi, et qu'il a prononcé leur transfert de la Suisse vers l'Espagne conformément à l'art. 44 LAsi, aucune exception à la règle générale du renvoi n'étant réalisée (art. 32 OA 1). Partant, le recours doit être rejeté.</w:t>
      </w:r>
    </w:p>
    <w:p>
      <w:r>
        <w:rPr>
          <w:b/>
        </w:rPr>
        <w:t>E. 6</w:t>
      </w:r>
    </w:p>
    <w:p>
      <w:r>
        <w:t>Les conclusions du recours étant d'emblée vouées à l'échec, la requête d'assistance judiciaire totale est rejetée. Il y a donc lieu de mettre les frais de procédure à la charge des recourants,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