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F-4418/2020 vom 5. November 2020</w:t>
      </w:r>
    </w:p>
    <w:p>
      <w:r>
        <w:t>Bundesverwaltungsgericht, 2020-11-05, FR</w:t>
      </w:r>
    </w:p>
    <w:p>
      <w:r>
        <w:rPr>
          <w:b/>
        </w:rPr>
        <w:t xml:space="preserve">Quelle: </w:t>
      </w:r>
      <w:r>
        <w:t>https://mcp.opencaselaw.ch/entscheid/bvger_F-4418_2020</w:t>
      </w:r>
    </w:p>
    <w:p>
      <w:r>
        <w:t>FR: TAF F-4418/2020 du 5 novembre 2020</w:t>
      </w:r>
    </w:p>
    <w:p>
      <w:r>
        <w:t>IT: TAF F-4418/2020 del 5 novembre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ATAF 2014/1 consid. 2).</w:t>
      </w:r>
    </w:p>
    <w:p>
      <w:r>
        <w:rPr>
          <w:b/>
        </w:rPr>
        <w:t>E. 3.1</w:t>
      </w:r>
    </w:p>
    <w:p>
      <w:r>
        <w:t>En vertu de l'art. 21 al. 1 LN, l'étranger ayant épousé un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135 II 161 consid. 2). Il est à noter que les conditions de l'ancien droit relatives à la durée de la communauté conjugale (respectivement de l'union conjugale) n'ont pas été modifiées par le nouveau droit (cf. art. 27 al. 1 de l'ancienne loi sur la nationalité du 29 septembre 1952 [aLN, RO 1952 1115]).</w:t>
      </w:r>
    </w:p>
    <w:p>
      <w:r>
        <w:rPr>
          <w:b/>
        </w:rPr>
        <w:t>E. 3.2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4.1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4.2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 ; cf. également arrêts du TF 1C_588/2017 consid. 5.1 et 1C_362/2017 consid. 2.2.1).</w:t>
      </w:r>
    </w:p>
    <w:p>
      <w:r>
        <w:rPr>
          <w:b/>
        </w:rPr>
        <w:t>E. 4.3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 arrêts du TF 1C_588/2017 consid. 5.2 et 1C_362/2017 consid. 2.2.2).</w:t>
      </w:r>
    </w:p>
    <w:p>
      <w:r>
        <w:rPr>
          <w:b/>
        </w:rPr>
        <w:t>E. 5</w:t>
      </w:r>
    </w:p>
    <w:p>
      <w:r>
        <w:t>D'emblée, le Tribunal constate que les conditions formelles d'annulation de la naturalisation facilitée prévues par l'art. 36 LN sont réalisées.</w:t>
      </w:r>
    </w:p>
    <w:p>
      <w:r>
        <w:rPr>
          <w:b/>
        </w:rPr>
        <w:t>E. 5.1</w:t>
      </w:r>
    </w:p>
    <w:p>
      <w:r>
        <w:t>En effet, la naturalisation facilitée accordée au recourant par décision du 9 septembre 2019, entrée en force le 11 octobre 2019, a été annulée par l'autorité inférieure le 19 août 2020 (cf. art. 36 al. 1 LN).</w:t>
      </w:r>
    </w:p>
    <w:p>
      <w:r>
        <w:rPr>
          <w:b/>
        </w:rPr>
        <w:t>E. 5.2</w:t>
      </w:r>
    </w:p>
    <w:p>
      <w:r>
        <w:t>L'autorité inférieure a eu connaissance des faits déterminants pour engager une procédure d'annulation de la naturalisation facilitée au plus tôt le 16 décembre 2019, date à laquelle les autorités bernoises ont annoncé le cas, dès lors que l'épouse du recourant les avait informées vouloir se séparer déjà depuis le mois de février 2019. Le 5 mai 2020, le Service de l'état civil et des naturalisations du canton de Berne a informé le SEM que l'intéressé était officiellement séparé de son épouse depuis le 25 novembre 2019 et que le couple ne faisait plus ménage commun depuis le 16 mars 2020. Le 13 mai 2020, l'autorité inférieure a signifié au recourant l'ouverture d'une procédure en annulation de naturalisation facilitée à son encontre, tout en lui accordant le droit d'être entendu.</w:t>
      </w:r>
    </w:p>
    <w:p>
      <w:r>
        <w:rPr>
          <w:b/>
        </w:rPr>
        <w:t>E. 5.3</w:t>
      </w:r>
    </w:p>
    <w:p>
      <w:r>
        <w:t>Les délais de prescription (relative et absolue) de l'art. 36 al. 2 LN ont donc été respectés.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Dans le cas particulier, le recourant a épousé une Suissesse le 18 mai 2010 au Canada. De cette union sont nés deux enfants suisses, respectivement les (...) 2011 et (...) 2014. Le 14 mai 2013, le couple a quitté le Canada pour venir s'installer en Suisse. Le 22 mai 2018, il a présenté une demande de naturalisation facilitée. Par décision du 9 septembre 2019, entrée en force le 11 octobre 2019, il a obtenu la nationalité helvétique, après avoir contresigné, en date du 30 août 2019, une déclaration de vie commune confirmant la stabilité du mariage. Le lendemain de cette déclaration, suite à une dispute concernant la signature de la déclaration de communauté conjugale, le recourant a déposé plainte contre son épouse pour voies de fait. Le 2 mars 2020, les époux ont introduit une requête commune en divorce avec accord complet et requis la ratification de la convention y relative, signée les 16 février et 2 mars 2020 par le recourant et son épouse (cf. SEM pces 146 à 150). Le divorce prononcé le 3 juin 2020 est entré en force le même jour (cf. SEM pce 244). Le recourant avait ainsi signé sa déclaration de vie commune seulement six mois avant l'introduction de la requête commune de divorce avec accord complet. De surcroît, la naturalisation du recourant a été octroyée moins de neuf mois avant le prononcé du jugement de divorce (cf. SEM pces 3 et 244).</w:t>
      </w:r>
    </w:p>
    <w:p>
      <w:r>
        <w:rPr>
          <w:b/>
        </w:rPr>
        <w:t>E. 6.2</w:t>
      </w:r>
    </w:p>
    <w:p>
      <w:r>
        <w:t>Les éléments susmentionnés et leur enchaînement chronologique rapide, à savoir le court laps de temps - qui se situe nettement en-deçà du seuil des deux ans - séparant la déclaration commune, l'octroi de la naturalisation facilitée, le dépôt d'une requête commune de divorce avec accord complet et le prononcé du jugement de divorce, sont de nature à fonder la présomption de fait selon laquelle, au moment de la signature de la déclaration commune et lors de la décision de naturalisation, la communauté conjugale des époux n'était plus stable et orientée vers l'avenir et la naturalisation a été acquise au moyen de déclarations mensongères, respectivement en dissimulant des faits essentiels (cf. arrêt du TF 1C_172/2012 du 11 mai 2012 consid. 2.3), ce d'autant plus que le recourant avait déposé plainte contre son épouse le lendemain de la signature de la déclaration conjugale au motif que celle-ci refusait de signer dite déclaration (cf. SEM pces 109 ss et consid. 6.1 supra), ce qui est également confirmé par le rapport de la Préfecture de Bienne du 17 octobre 2019 (cf. SEM pce 114).</w:t>
      </w:r>
    </w:p>
    <w:p>
      <w:r>
        <w:rPr>
          <w:b/>
        </w:rPr>
        <w:t>E. 6.3</w:t>
      </w:r>
    </w:p>
    <w:p>
      <w:r>
        <w:t>Cette présomption est en outre renforcée par d'autres éléments du dossier.</w:t>
      </w:r>
    </w:p>
    <w:p>
      <w:r>
        <w:rPr>
          <w:b/>
        </w:rPr>
        <w:t>E. 6.3.1</w:t>
      </w:r>
    </w:p>
    <w:p>
      <w:r>
        <w:t>Le recourant a admis, dans le cadre de la plainte pénale susmentionnée, à savoir dix jours avant qu'il ne fût mis au bénéfice de la nationalité suisse, que le couple rencontrait des difficultés depuis plusieurs mois déjà (cf. dossier SEM, pces 77 et 78) et qu'il ne voyait plus de futur commun (« keine gemeinsame Zukunft mehr » ; cf. SEM pce 84). Un mois avant l'entrée en force de sa naturalisation, il a également déclaré qu'en 2018, le couple avait suivi une thérapie, à la suite de laquelle la situation s'était encore dégradée, et que leur relation ne pouvait pas continuer ainsi (cf. SEM pces 89 et 90). Cette détérioration progressive de l'union conjugale a également été corroborée par les propos de son ex-épouse, lors de son audition dans le cadre de la plainte sus-évoquée, qui a déclaré : « Wir reden nicht mehr miteinander. Er ist oft auf Geschäftsreisen und nicht zuhause. Wir kommunizieren eigentlich nicht zusammen. Seit dem 30.08.2019 kommunizieren wird mit SMS-Nachrichten. Er schreibt mir Befehle und schaltet darauf sein Mobiltelefon ab, damit ich nicht antworten kann. Die Situation ist noch schlimmer geworden » (cf. SEM pce 101). Ces éléments démontrent que le processus de détérioration de l'union conjugale avait déjà commencé avant la déclaration commune et l'octroi de la naturalisation facilitée.</w:t>
      </w:r>
    </w:p>
    <w:p>
      <w:r>
        <w:rPr>
          <w:b/>
        </w:rPr>
        <w:t>E. 6.3.2</w:t>
      </w:r>
    </w:p>
    <w:p>
      <w:r>
        <w:t>S'ajoute à cela la vitesse à laquelle les époux ont divorcé. En effet, le couple a introduit une requête commune de divorce avec accord complet en date du 2 mars 2020. Ce divorce a déjà abouti le 3 juin 2020 et n'a été précédé d'aucune procédure de mesures protectrices de l'union conjugale ni de tentative de conciliation (cf., en ce sens, arrêt du TF 1C_121/2014 du 20 août 2014 consid. 2.3 in fine). Les intéressés ont été entendus séparément par le Tribunal civil par audience du même jour, lors de laquelle ils ont confirmé leur volonté de divorcer, ainsi que les termes de la convention de divorce, accompagnée de son avenant (cf. SEM pces 222 ss et 232 ss). En outre, les déclarations du recourant selon lesquelles il désirait sauver son mariage, rester proche de ses enfants, leur bien étant prioritaire, jouissait d'une bonne intégration sociale et économique (cf., notamment, recours p. 3, SEM pces 68, 132, 133, 247), n'apparaissent pas pertinentes pour démontrer que son union conjugale était stable et tournée vers l'avenir.</w:t>
      </w:r>
    </w:p>
    <w:p>
      <w:r>
        <w:rPr>
          <w:b/>
        </w:rPr>
        <w:t>E. 6.3.3</w:t>
      </w:r>
    </w:p>
    <w:p>
      <w:r>
        <w:t>L'ensemble de ces éléments permet de retenir qu'il n'est ainsi pas crédible que l'union conjugale en cause avait encore été tournée vers l'avenir lors de la signature de la déclaration en août 2019.</w:t>
      </w:r>
    </w:p>
    <w:p>
      <w:r>
        <w:rPr>
          <w:b/>
        </w:rPr>
        <w:t>E. 6.4</w:t>
      </w:r>
    </w:p>
    <w:p>
      <w:r>
        <w:t>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à cette époque, et ce, à tout le moins, depuis 2018 déjà (cf. consid. 6.3.1 supra).</w:t>
      </w:r>
    </w:p>
    <w:p>
      <w:r>
        <w:rPr>
          <w:b/>
        </w:rPr>
        <w:t>E. 7</w:t>
      </w:r>
    </w:p>
    <w:p>
      <w:r>
        <w:t>Il convient encore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4.4 supra).</w:t>
      </w:r>
    </w:p>
    <w:p>
      <w:r>
        <w:rPr>
          <w:b/>
        </w:rPr>
        <w:t>E. 7.1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Comme évoqué plus haut (cf. consid. 6.1 supra), l'intéressé a signé sa déclaration de communauté environ six mois avant de déposer une demande commune de divorce avec accord complet, respectivement neuf mois avant le prononcé du divorce. Il ressort des pièces du dossier que le recourant a reconnu que le couple faisait face à des problèmes conjugaux depuis 2018 déjà, à savoir bien avant la signature de la déclaration de vie commune, s'étant de surcroît violemment disputé avec son ex-épouse à ce sujet (cf. consid. 6.1 et 6.3.1 supra).</w:t>
      </w:r>
    </w:p>
    <w:p>
      <w:r>
        <w:rPr>
          <w:b/>
        </w:rPr>
        <w:t>E. 7.3</w:t>
      </w:r>
    </w:p>
    <w:p>
      <w:r>
        <w:t>A suivre l'argumentation du recourant, à tout le moins de manière implicite, la déliquescence de son couple serait postérieure à sa naturalisation facilitée (cf., notamment, recours p. 2 ch. 12).</w:t>
      </w:r>
    </w:p>
    <w:p>
      <w:r>
        <w:rPr>
          <w:b/>
        </w:rPr>
        <w:t>E. 7.3.1</w:t>
      </w:r>
    </w:p>
    <w:p>
      <w:r>
        <w:t>Il apparaît plutôt que le processus de délitement du lien conjugal s'est effectué lentement et que la communauté conjugale n'était plus stable et orientée vers l'avenir déjà au moment de la signature de la déclaration concernant la communauté conjugale et de l'octroi de la naturalisation facilitée (cf. consid. 6.3.1 supra). Cette appréciation se trouve renforcée par les déclarations du recourant selon lesquelles son ex-épouse aurait entretenu une relation extra-conjugale en 2019 (cf. recours p. 2 ch. 7 et p. 3), sans toutefois que ses propos ne fussent étayés.</w:t>
      </w:r>
    </w:p>
    <w:p>
      <w:r>
        <w:rPr>
          <w:b/>
        </w:rPr>
        <w:t>E. 7.3.2</w:t>
      </w:r>
    </w:p>
    <w:p>
      <w:r>
        <w:t>A cela s'ajoute la circonstance que le recourant n'a pas amené d'éléments démontrant l'existence de projets concrets et sérieux du couple, postérieurs à la déclaration concernant la communauté conjugale (en août 2019) et à la décision d'octroi de la naturalisation (entrée en force en octobre 2019), susceptibles de convaincre le Tribunal de la stabilité de leur union et de son caractère tourné vers l'avenir, le fait pour le recourant d'avoir démontré avoir quitté le domicile conjugal en date du 16 mars 2020 (cf. recours, annexes, courriel du 1er septembre 2020 et contrat de bail du 18 décembre 2019) n'apparaissant qu'anecdotique respectivement d'ordre formel au vu des arguments présentés ci-dessus.</w:t>
      </w:r>
    </w:p>
    <w:p>
      <w:r>
        <w:rPr>
          <w:b/>
        </w:rPr>
        <w:t>E. 7.4</w:t>
      </w:r>
    </w:p>
    <w:p>
      <w:r>
        <w:t>Au vu de l'ensemble des pièces du dossier et en procédant à une appréciation globale des preuves, le Tribunal estime ainsi que les circonstances invoquées par le recourant sont antérieures à la déclaration de vie commune du 30 août 2019 et ne sauraient constituer un événement extraordinaire entraînant la détérioration rapide du lien conjugal : les difficultés rencontrées par le couple, qui ont conduit à une irrémédiable et progressive dégradation du lien conjugal, ne sauraient être considérées comme constitutives d'un élément libérateur au sens de la jurisprudence. Pour les mêmes raisons, il convient de conclure que le recourant ne pouvait ignorer, ni en août 2019, ni en septembre et octobre 2019, que son couple ne représentait plus une union stable et tournée vers l'avenir et n'a pas non plus rendu vraisemblable que les problèmes rencontrés par le couple étaient mineurs et qu'il n'aurait pas pu en mesurer l'importance.</w:t>
      </w:r>
    </w:p>
    <w:p>
      <w:r>
        <w:rPr>
          <w:b/>
        </w:rPr>
        <w:t>E. 7.5</w:t>
      </w:r>
    </w:p>
    <w:p>
      <w:r>
        <w:t>En conclusion, le Tribunal considère que les époux ne formaient plus une communauté conjugale effective, stable et orientée vers l'avenir au moment de la signature de leur « Déclaration concernant la communauté conjugale », le 30 août 2019, et que le processus de dégradation des rapports conjugaux avait débuté avant cette date. Par ailleurs, le recourant n'est pas parvenu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 n'ait pas été conscient - au moment de la signature de la déclaration de vie commune et lors du prononcé de la naturalisation - que la communauté conjugale alors vécue par les époux ne présentait pas l'intensité et la stabilité requises.</w:t>
      </w:r>
    </w:p>
    <w:p>
      <w:r>
        <w:rPr>
          <w:b/>
        </w:rPr>
        <w:t>E. 7.6</w:t>
      </w:r>
    </w:p>
    <w:p>
      <w:r>
        <w:t>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8.1</w:t>
      </w:r>
    </w:p>
    <w:p>
      <w:r>
        <w:t>Compte tenu de ce qui précède, c'est à bon droit que l'autorité intimée a retenu que l'intéressé avait fait, lors de la procédure de naturalisation facilitée, des déclarations mensongères quant à la stabilité et l'effectivité de sa communauté conjugale. Par sa décision du 19 août 2020, l'autorité inférieure n'a donc ni violé le droit fédéral ni constaté des faits pertinents de manière inexacte ou incomplète ; en outre, cette décision n'est pas inopportune (art. 49 PA).</w:t>
      </w:r>
    </w:p>
    <w:p>
      <w:r>
        <w:rPr>
          <w:b/>
        </w:rPr>
        <w:t>E. 8.2</w:t>
      </w:r>
    </w:p>
    <w:p>
      <w:r>
        <w:t>Partant, le recours est rejeté. Etant d'emblée infondé, il est renoncé à un échange d'écritures. Un double du mémoire de recours du 5 septembre 2020 est porté à la connaissance de l'autorité inférieure pour information, en même temps que survient la présente notification.</w:t>
      </w:r>
    </w:p>
    <w:p>
      <w:r>
        <w:rPr>
          <w:b/>
        </w:rPr>
        <w:t>E. 9</w:t>
      </w:r>
    </w:p>
    <w:p>
      <w:r>
        <w:t>Vu l'issue de la cause, il y a lieu de mettre des frais de procédure réduits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