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F-4417/2019 vom 6. April 2020</w:t>
      </w:r>
    </w:p>
    <w:p>
      <w:r>
        <w:t>Bundesverwaltungsgericht, 2020-04-06, DE</w:t>
      </w:r>
    </w:p>
    <w:p>
      <w:r>
        <w:rPr>
          <w:b/>
        </w:rPr>
        <w:t xml:space="preserve">Quelle: </w:t>
      </w:r>
      <w:r>
        <w:t>https://mcp.opencaselaw.ch/entscheid/bvger_F-4417_2019</w:t>
      </w:r>
    </w:p>
    <w:p>
      <w:r>
        <w:t>FR: TAF F-4417/2019 du 6 avril 2020</w:t>
      </w:r>
    </w:p>
    <w:p>
      <w:r>
        <w:t>IT: TAF F-4417/2019 del 6 aprile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der Bruder des Verfügungsadressaten. Aufgrund der spezifischen Beziehungsnähe hat er ein ausreichendes schutzwürdiges Interesse an der Aufhebung oder Änderung der angefochtenen Verfügung. Er ist daher zur Beschwerde legitimiert (siehe auch Verwaltungspraxis der Bundesbehörden [VPB] 62.29). Auf die frist- und formgerecht eingereichte Beschwerde ist somit einzutreten (Art. 50 und 52 VwVG).</w:t>
      </w:r>
    </w:p>
    <w:p>
      <w:r>
        <w:rPr>
          <w:b/>
        </w:rPr>
        <w:t>E. 1.4</w:t>
      </w:r>
    </w:p>
    <w:p>
      <w:r>
        <w:t>Das Bundesverwaltungsgericht entscheidet in der vorliegenden Sache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Das Einreiseverbot kann gestützt auf Art. 67 Abs. 2 AIG gegenüber ausländischen Personen verfügt werden, die gegen die öffentliche Sicher-heit und Ordnung in der Schweiz oder im Ausland verstossen haben oder diese gefährden (Art. 67 Abs. 2 Bst. a AIG), Sozialhilfekosten verursacht haben (Art. 67 Abs. 2 Bst. b AIG) oder in Vorbereitungs-, Ausschaffungs- oder Durchsetzungshaft genommen werden mussten (Art. 67 Abs. 2 Bst. c AIG). Das Verbot wird für eine Dauer von höchstens fünf Jahren verfügt. Für eine längere Dauer kann es angeordnet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Unkenntnis oder Fehlinterpretation der Einreise- und Aufenthaltsvorschriften - wie vom Beschwerdeführer nachträglich geltend gemacht - stellen normalerweise keinen hinreichenden Grund für ein Absehen von einer Fernhaltemassnahme dar. Jeder Ausländerin und jedem Ausländer obliegt es, sich über die bestehenden Rechte und Pflichten ins Bild zu setzen und sich im Falle von Unklarheiten bei den zuständigen Stellen zu informieren (vgl. anstelle vieler: Urteil des BVGer F-3163/2017 vom 12. März 2019 E. 6.2).</w:t>
      </w:r>
    </w:p>
    <w:p>
      <w:r>
        <w:rPr>
          <w:b/>
        </w:rPr>
        <w:t>E. 4.1</w:t>
      </w:r>
    </w:p>
    <w:p>
      <w:r>
        <w:t>Die Vorinstanz begründete die angefochtene Verfügung wie dargetan damit, B._______ sei in der Schweiz einer Erwerbstätigkeit nachgegangen, ohne im Besitze der erforderlichen ausländerrechtlichen Bewilligung gewesen zu sein. Die Ausübung einer solchen unbewilligten Erwerbstätigkeit stelle einen Verstoss gegen die öffentliche Sicherheit und Ordnung dar.</w:t>
      </w:r>
    </w:p>
    <w:p>
      <w:r>
        <w:rPr>
          <w:b/>
        </w:rPr>
        <w:t>E. 4.2</w:t>
      </w:r>
    </w:p>
    <w:p>
      <w:r>
        <w:t>Der ausländerrechtliche Begriff der Erwerbstätigkeit ist weit gefasst (vgl. statt vieler: Urteil des BVGer F-1827/2018 vom 30. September 2019 E. 6.3.4 und Marc Spescha in: Spescha et al. [Hrsg.], Kommentar Migrationsrecht, 5. Aufl. 2019, Art. 11 AIG N. 2). Als Erwerbstätigkeit im Sinne des Gesetzes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etwa Urteil des BVGer F-3451/2018 vom 22. Januar 2020 E. 5.1 sowie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Abs. 1 VZAE).</w:t>
      </w:r>
    </w:p>
    <w:p>
      <w:r>
        <w:rPr>
          <w:b/>
        </w:rPr>
        <w:t>E. 4.3</w:t>
      </w:r>
    </w:p>
    <w:p>
      <w:r>
        <w:t>Der Beschwerdeführer ist Geschäftsführer einer Autohandelsfirma. Aus den Akten geht hervor, dass er ungefähr ab anfangs Juli 2019 bis Mitte August 2019 im Libanon in den Ferien weilte. Während dieser Zeit betraute er seinen Bruder B._______ damit, im Betrieb jeweils nachzuschauen, ob alles in Ordnung ist. Hierfür überliess er ihm laut Darstellung in der Beschwerdeschrift seine Telefone und die Schlüssel. Mit der Entgegennahme von Telefonaten und der Platzkontrolle hat B._______ typische Vertretungsaufgaben eines Autohändlers übernommen. Tätigkeiten dieser Art werden auf dem Schweizer Arbeitsmarkt angeboten. Die Hilfestellung erfolgte zudem nicht in der privaten, sondern in der geschäftlichen Sphäre des Bruders (vgl. hierzu Urteil des BVGer F-384/2019 vom 19. Februar 2020 E. 4.2.3 m.H.). Somit fallen die beschriebenen "Unterstützungs- und Hilfeleistungen" unter den Begriff der bewilligungspflichtigen Erwerbstätigkeit. Soweit der Beschwerdeführer ergänzend argumentiert, sie hätten aus Unwissen gehandelt, gilt es nochmals in Erinnerung zu rufen, dass es für die Anordnung von Fernhaltemassnahmen im fraglichen Bereich keines vorsätzlichen Verstosses gegen gesetzliche Bestimmungen bedarf (siehe E. 3.2 hiervor). Aufgrund dessen kommt das Bundesverwaltungsgericht zum Schluss, dass B._______ im dargelegten Umfang einer Erwerbstätigkeit im Sinne von Art. 11 Abs. 2 AIG nachgegangen ist.</w:t>
      </w:r>
    </w:p>
    <w:p>
      <w:r>
        <w:rPr>
          <w:b/>
        </w:rPr>
        <w:t>E. 4.4</w:t>
      </w:r>
    </w:p>
    <w:p>
      <w:r>
        <w:t>B._______ wurde wegen rechtswidrigen Aufenthalts und Erwerbstätigkeit strafrechtlich belangt (vgl. Bst. B weiter vorne). Der entsprechende Strafbefehl der Staatanwaltschaft Zürich - Limmat blieb, soweit ersichtlich, unangefochten. Unabhängig davon ist bei der Anordnung eines Einreiseverbots nicht relevant, ob gegen die massnahmebelastete Person ein Strafverfahren hängig ist. Eine Fernhaltemassnahme kann gemäss ständiger Rechtsprechung auch dann ergehen, wenn ein rechtskräftiges Strafurteil fehlt, etwa weil ein Strafverfahren nicht eröffnet wurde, noch hängig ist oder eingestellt wurde. Es genügt mit anderen Worten, wenn - wie in casu - Verdachtsmomente vorliegen, die von der Behörde als hinreichend konkret erachtet werden (vgl. beispielsweise Urteile des BVGer F-6906/2018 vom 10. Dezember 2018 E. 4.3 oder F-7649/2016 vom 13. März 2018 E. 3.3).</w:t>
      </w:r>
    </w:p>
    <w:p>
      <w:r>
        <w:rPr>
          <w:b/>
        </w:rPr>
        <w:t>E. 4.5</w:t>
      </w:r>
    </w:p>
    <w:p>
      <w:r>
        <w:t>Die Voraussetzungen für den Erlass eines Einreiseverbots nach Art. 67 Abs. 2 Bst. a AIG sind somit erfüllt.</w:t>
      </w:r>
    </w:p>
    <w:p>
      <w:r>
        <w:rPr>
          <w:b/>
        </w:rPr>
        <w:t>E. 5.1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5.2</w:t>
      </w:r>
    </w:p>
    <w:p>
      <w:r>
        <w:t>Das generalpräventiv motivierte Interesse daran,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Urteile des BGer 2C_516/2014 vom 24. März 2015 E. 4.3.2 oder 2C_282/2012 vom 31. Juli 2012 E. 2.5 je m.H.). Dazu kommt eine spezialpräventive Zielsetzung der Massnahme, den Betroffenen zu ermahnen, ausländerrechtliche Bestimmungen zukünftig einzuhalten und so einer weiteren Störung der öffentlichen Sicherheit und Ordnung entgegenzuwirken (vgl. F-1827/2018 E. 7.1). Mit seinem Verhalten hat B._______ nach dem bisher Gesagten gegen die öffentliche Sicherheit und Ordnung verstossen bzw. unter diesen Oberbegriff fallende Rechtsgüter gefährdet. Damit besteht ein gewichtiges öffentliches Interesse an seiner befristeten Fernhaltung.</w:t>
      </w:r>
    </w:p>
    <w:p>
      <w:r>
        <w:rPr>
          <w:b/>
        </w:rPr>
        <w:t>E. 5.3</w:t>
      </w:r>
    </w:p>
    <w:p>
      <w:r>
        <w:t>Den öffentlichen Interessen sind die privaten Interessen des Massnahmelasteten gegenüber zu stellen. Der Beschwerdeführer erwähnt in diesem Zusammenhang einzig auf Seiten seines Bruders bestehende Gründe beruflicher Natur. Die allfällige vorübergehende Einschränkung seiner Geschäftstätigkeit (der Beschwerde zufolge betätigt sich B._______ im Autohandel, laut Strafbefehl ist er nicht erwerbstätig) hat er jedoch selbst zu verantworten und in Kauf zu nehmen. Die diesbezüglichen Interessen des in Italien ansässigen Bruders werden zudem durch den Verzicht auf die Ausschreibung im SIS relativiert.</w:t>
      </w:r>
    </w:p>
    <w:p>
      <w:r>
        <w:rPr>
          <w:b/>
        </w:rPr>
        <w:t>E. 5.4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w:t>
      </w:r>
    </w:p>
    <w:p>
      <w:r>
        <w:rPr>
          <w:b/>
        </w:rPr>
        <w:t>E. 6</w:t>
      </w:r>
    </w:p>
    <w:p>
      <w:r>
        <w:t>Aus diesen Erwägungen ergibt sich, dass die angefochtene Verfügung im Lichte von Art. 49 VwVG nicht zu beanstanden ist. Die Beschwerde ist somit abzuweisen.</w:t>
      </w:r>
    </w:p>
    <w:p>
      <w:r>
        <w:rPr>
          <w:b/>
        </w:rPr>
        <w:t>E. 7</w:t>
      </w:r>
    </w:p>
    <w:p>
      <w:r>
        <w:t>Entsprechend dem Ausgang des Verfahrens sind die Kosten dem Beschwerdeführer aufzuerlegen (vgl. Art. 63 Abs. 1 VwVG i.V.m. Art. 1 ff. des Reglements vom 21. Februar 2098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