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F-4416/2022 vom 6. April 2023</w:t>
      </w:r>
    </w:p>
    <w:p>
      <w:r>
        <w:t>Bundesverwaltungsgericht, 2023-04-06, DE</w:t>
      </w:r>
    </w:p>
    <w:p>
      <w:r>
        <w:rPr>
          <w:b/>
        </w:rPr>
        <w:t xml:space="preserve">Quelle: </w:t>
      </w:r>
      <w:r>
        <w:t>https://mcp.opencaselaw.ch/entscheid/bvger_F-4416_2022</w:t>
      </w:r>
    </w:p>
    <w:p>
      <w:r>
        <w:t>FR: TAF F-4416/2022 du 6 avril 2023</w:t>
      </w:r>
    </w:p>
    <w:p>
      <w:r>
        <w:t>IT: TAF F-4416/2022 del 6 aprile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Der Beschwerdeführer hat am vorangegangenen Einspracheverfahren teilgenommen und ist als Verfügungsadressat sowie Gastgeber durch den angefochtenen Entscheid besonders berührt. Er ist zur Erhebung der Beschwerde legitimiert (Art. 48 Abs. 1 VwVG). Obwohl der anberaumte Besuchszeitraum verstrichen ist, kann - nicht zuletzt angesichts der Einreichung des Rechtsmittels - auf ein fortbestehendes Rechtsschutzinteresse geschlossen werden. Auf die frist- und formgerechte Beschwerde ist einzutreten (vgl. Art. 50 Abs. 1 und 52 Abs. 1 VwVG).</w:t>
      </w:r>
    </w:p>
    <w:p>
      <w:r>
        <w:rPr>
          <w:b/>
        </w:rPr>
        <w:t>E. 1.3</w:t>
      </w:r>
    </w:p>
    <w:p>
      <w:r>
        <w:t>In der vorliegenden Beschwerdeangelegenheit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w:t>
      </w:r>
    </w:p>
    <w:p>
      <w:r>
        <w:t>Dem angefochtenen Entscheid liegt das Gesuch eines sri-lankischen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VK, Abl. L 243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Streitig und zu prüfen ist, ob der Gesuchsteller die Voraussetzungen für die Erteilung eines Besuchervisums erfüllt, insbesondere, ob er für eine fristgerechte Wiederausreise Gewähr bietet.</w:t>
      </w:r>
    </w:p>
    <w:p>
      <w:r>
        <w:rPr>
          <w:b/>
        </w:rPr>
        <w:t>E. 5.1</w:t>
      </w:r>
    </w:p>
    <w:p>
      <w:r>
        <w:t>Mit Blick auf die allgemeine Lage in Sri Lanka wies die Vorinstanz in ihrem Entscheid auf schwierige wirtschaftliche und politische Verhältnisse in der Herkunftsregion des Gesuchstellers und einen damit einhergehenden sehr hohen Migrationsdruck hin. Sri Lanka befindet sich seit Längerem in einer schweren Finanz- und Wirtschaftskrise mit Versorgungsengpässen, etwa in Bezug auf Güter wie Treibstoff, Strom, Medikamente oder Lebensmittel. Das Land ist zahlungsunfähig. Hinzu kommen soziale und politische Spannungen, überlagert von einer hoch instabilen Sicherheitslage. Das Bundesverwaltungsgericht hielt jüngst darum verschiedentlich fest, es sei nicht zu beanstanden, dass die Vorinstanz das Risiko einer nicht fristgerechten Wiederausreise von Besucherinnen und Besuchern aus Sri Lanka vor diesem Hintergrund allgemein als hoch einschätze (vgl. Urteile des BVGer F-5542/2022 vom 17. März 2023 E. 6.2; F-175/2020 vom 24. August 2022 E. 6.1 f.; F-5669/2021 vom 12. Mai 2022 E. 4.2; je m.w.H.). Dies stellt der Beschwerdeführer denn auch nicht in Abrede, weshalb sich Weiterungen dazu erübrigen.</w:t>
      </w:r>
    </w:p>
    <w:p>
      <w:r>
        <w:rPr>
          <w:b/>
        </w:rPr>
        <w:t>E. 5.2</w:t>
      </w:r>
    </w:p>
    <w:p>
      <w:r>
        <w:t>Daneben sind bei der Risikoanalyse sämtliche Gesichtspunkte des konkreten Einzelfalls zu berücksichtigen. Bei der Prognose über die Absicht einer gesuchstellenden Person, den Schengen-Raum fristgerecht zu verlassen, sind deren persönliche, familiäre und berufliche beziehungsweise wirtschaftliche Situation sowie deren Interessenlage mitzuberücksichtigen (BVGE 2014/1 E. 6.3.1). Obliegt einer gesuchstellenden Person im Heimatland beispielsweise eine besondere berufliche, gesellschaftliche oder familiäre Verantwortung, kann dies die Prognose für eine anstandslose Wiederausreise begünstigen. Umgekehrt muss bei Personen, denen in ihrer Heimat keine besonderen Verpflichtungen obliegen, das Risiko eines ausländerrechtlich nicht regelkonformen Verhaltens nach einer bewilligten Einreise als hoch eingeschätzt werden (BVGE 2014/1 E. 6.3.1; 2009/27 E. 8).</w:t>
      </w:r>
    </w:p>
    <w:p>
      <w:r>
        <w:rPr>
          <w:b/>
        </w:rPr>
        <w:t>E. 5.3</w:t>
      </w:r>
    </w:p>
    <w:p>
      <w:r>
        <w:t>Beim Gesuchsteller handelt es sich den Akten zufolge um den mittlerweile (...)-jährigen, jüngeren Bruder des Beschwerdeführers. Ersterer ist verheiratet und hat zwei Kinder. Der Umstand, wonach seine Familie in Sri Lanka zurückbleibt, lässt erkennen, dass ihm in der Heimat als Ehemann und Vater eine gewisse familiäre Verantwortung obliegt. Eine derartige Verantwortung kann eine mögliche besondere Gewähr für die Rückkehr ins Heimatland bieten (siehe E. 5.2 hiervor). Indessen hat die Erfahrung oftmals gezeigt, dass zurückbleibende nahe Angehörige gerade in Situationen angespannter wirtschaftlicher und/oder politischer Verhältnisse gesuchstellende Personen regelmässig nicht verlässlich davon abhalten, den Entschluss für eine Emigration zu fällen, sei dies etwa in der Hoffnung, die Zurückgebliebenen aus dem Ausland effizienter zu unterstützen oder später allenfalls gar nachziehen zu können. Dafür spricht, dass der in D._______ansässige Gesuchsteller gemäss Abklärungen der Schweizerischen Vertretung in Colombo innerhalb Sri Lankas in einer Region mit besonders hohem Migrationsdruck wohnhaft ist. Insofern bietet allein seine familiäre Situation keine besondere Gewähr für eine anstandslose Rückkehr dorthin.</w:t>
      </w:r>
    </w:p>
    <w:p>
      <w:r>
        <w:rPr>
          <w:b/>
        </w:rPr>
        <w:t>E. 5.4</w:t>
      </w:r>
    </w:p>
    <w:p>
      <w:r>
        <w:t>Hinzu kommt, dass die beschwerdeweise geltend gemachte Selbständigkeit des Gesuchstellers als Betreiber eines Motorradshops mit sechs Angestellten unbelegt bleibt. Über seine wirtschaftlichen Verhältnisse ist lediglich bekannt, dass sieben auf ihn lautende Bankkonten per 7. Juni 2022 einen Saldo von LKR 19'183'593.- (umgerechnet ca. Fr. 54'018.- per 30. März 2023) aufwiesen. Davon wurden vier sogenannte «Term Deposits» in der Höhe von LKR 18'400'000.- (umgerechnet ca. Fr. 51'811.- per 30. März 2023) unmittelbar vor Gesuchstellung eröffnet, zwei am 23. Mai 2022 und zwei am 2. Juni 2022. Deren Herkunft bleibt unklar. Ebenso allfällige Erwerbseinkünfte des Gesuchstellers. Nachweise über Lohnzahlungen liegen nicht vor. Der Umstand, dass vier Konten erst kurz vor der Gesuchseinreichung - welche am 30. Juni 2022 erfolgte - eröffnet wurden und es sich dabei um den klar überwiegenden Teil des Vermögens handelt, lässt darauf schliessen, dass es sich um Zahlungen handelt, die bewusst vorgenommen wurden, um seine Vermögenssituation deutlich besser erscheinen zu lassen. Einen hinreichenden Beleg einer sicheren wirtschaftlichen Existenz in Sri Lanka, welche ihn von einer Emigration abhalten könnte, bleibt der Gesuchsteller jedenfalls schuldig.</w:t>
      </w:r>
    </w:p>
    <w:p>
      <w:r>
        <w:rPr>
          <w:b/>
        </w:rPr>
        <w:t>E. 5.5</w:t>
      </w:r>
    </w:p>
    <w:p>
      <w:r>
        <w:t>An dieser Einschätzung vermag auch die vom Beschwerdeführer unterzeichnete Garantieerklärung über Fr. 30'000.- (vgl. Art. 15 Abs. 5 VEV) nichts zu ändern, weil er bei einem vorhandenen Vermögen von Fr. 2'002.- gar nicht in der Lage ist, diesen Betrag zu leisten. Seine diesbezügliche Solvenzeinschätzung fällt negativ aus. Die Voraussetzungen für die Erteilung eines Besuchervisums im Sinne von Art. 6 SGK beziehungsweise Art. 5 AIG sind demnach nicht erfüllt.</w:t>
      </w:r>
    </w:p>
    <w:p>
      <w:r>
        <w:rPr>
          <w:b/>
        </w:rPr>
        <w:t>E. 6</w:t>
      </w:r>
    </w:p>
    <w:p>
      <w:r>
        <w:t>Im Übrigen wurden Gründe für die Ausstellung eines Visums mit räumlich beschränkter Gültigkeit (vgl. Art. 3 Abs. 4 und Art. 7 VEV, Art. 25 Abs. 1 Bst. a VK sowie Art. 6 Abs. 5 Bst. c SGK) weder vom Beschwerdeführer geltend gemacht noch ergeben sich solche aus den Akten. Folglich hat die Vorinstanz die Ausstellung eines Visums zu Recht verweigert.</w:t>
      </w:r>
    </w:p>
    <w:p>
      <w:r>
        <w:rPr>
          <w:b/>
        </w:rPr>
        <w:t>E. 7</w:t>
      </w:r>
    </w:p>
    <w:p>
      <w:r>
        <w:t>Die angefochtene Verfügung ist von Bundesrechts wegen (Art. 49 VwVG) nicht zu beanstanden. Die Beschwerde ist abzuweisen.</w:t>
      </w:r>
    </w:p>
    <w:p>
      <w:r>
        <w:rPr>
          <w:b/>
        </w:rPr>
        <w:t>E. 8</w:t>
      </w:r>
    </w:p>
    <w:p>
      <w:r>
        <w:t>Die Kosten sind angesichts des Verfahrensausgangs dem unterliegenden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