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F-4414/2016 vom 7. August 2017</w:t>
      </w:r>
    </w:p>
    <w:p>
      <w:r>
        <w:t>Bundesverwaltungsgericht, 2017-08-07, DE</w:t>
      </w:r>
    </w:p>
    <w:p>
      <w:r>
        <w:rPr>
          <w:b/>
        </w:rPr>
        <w:t xml:space="preserve">Quelle: </w:t>
      </w:r>
      <w:r>
        <w:t>https://mcp.opencaselaw.ch/entscheid/bvger_F-4414_2016</w:t>
      </w:r>
    </w:p>
    <w:p>
      <w:r>
        <w:t>FR: TAF F-4414/2016 du 7 août 2017</w:t>
      </w:r>
    </w:p>
    <w:p>
      <w:r>
        <w:t>IT: TAF F-4414/2016 del 7 agosto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E.2).</w:t>
      </w:r>
    </w:p>
    <w:p>
      <w:r>
        <w:rPr>
          <w:b/>
        </w:rPr>
        <w:t>E. 3.1</w:t>
      </w:r>
    </w:p>
    <w:p>
      <w:r>
        <w:t>Der angefochtenen Verfügung liegt ein Gesuch eines chinesischen Staatsangehörigen um Erteilung eines Schengen-Visums bzw. eines humanitären Visums zugrunde. Das Ausländergesetz und seine Ausführungsbestimmungen gelangen nur soweit zur Anwendung, als die Schengen-Assoziierungsabkommen keine abweichenden Bestimmungen enthalten (Art. 2 Abs. 4 AuG [SR 142.20] und Art. 1 Abs. 2 der Verordnung vom 22. Oktober 2008 über die Einreise und die Visumerteilung [VEV; SR 142.204]).</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BVGE 2009/27 E. 3 oder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 Überschreiten der Aussengrenzen im Besitz eines Visums sein müssen, sowie der Liste der Drittländer, deren Staatsangehörige von dieser Visumspflicht befreit sind; zum vollständigen Quellennachweis vgl. die Fussnote zu Art. 4 Abs. 1 VEV). Im Weiteren müssen Drittstaatsangehörige für den Erhalt eines Schengen-Visums den Zweck und die Umstände ihres beabsichtigten Aufenthalts belegen und hierfür über ausreichend finanzielle Mittel verfügen. Namentlich haben sie zu belegen, dass sie den Schengen-Raum vor Ablauf der Gültigkeitsdauer des beantragten Visums wieder verlassen bzw. Gewähr für eine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6 Abs. 1 der Verordnung [EU] Nr. 2016/399 des Europäischen Parlaments und des Rates vom 9. März 2016 [kodifizierter Text] über einen Gemeinschaftskodex für das Überschreiten der Grenzen durch Personen [nachfolgend: Schengener-Grenzkodex, SGK, Abl. L 77/1 vom 23. März 2016]; Art. 14 Abs. 1 und Art. 21 Abs. 1 Visakodex; Art. 4 VEV).</w:t>
      </w:r>
    </w:p>
    <w:p>
      <w:r>
        <w:rPr>
          <w:b/>
        </w:rPr>
        <w:t>E. 3.4</w:t>
      </w:r>
    </w:p>
    <w:p>
      <w:r>
        <w:t>Wie die Vorinstanz in ihrer Verfügung vom 27. Juni 2016 zurecht festgestellt hat, sind die Voraussetzungen für die Erteilung eines Schengen-Visums in casu nicht erfüllt, weshalb zu prüfen bleibt, ob dem Gesuchsteller ein Visum mit räumlich beschränkter Gültigkeit (sog. Visum aus humanitären Gründen) hätte erteilt werden können.</w:t>
      </w:r>
    </w:p>
    <w:p>
      <w:r>
        <w:rPr>
          <w:b/>
        </w:rPr>
        <w:t>E. 4.1</w:t>
      </w:r>
    </w:p>
    <w:p>
      <w:r>
        <w:t>Sind die vorerwähnten Einreisevoraussetzungen zur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BVGE 2015/5 E. 4 m.w.H.).</w:t>
      </w:r>
    </w:p>
    <w:p>
      <w:r>
        <w:rPr>
          <w:b/>
        </w:rPr>
        <w:t>E. 4.2</w:t>
      </w:r>
    </w:p>
    <w:p>
      <w:r>
        <w:t>In einem Urteil vom 7. März 2017 (vgl. Urteil des Europäischen Gerichtshofs [EuGH] vom 07.03.2017, X und X gegen Belgien, C-638/16 PPU, EU:C:2017:173) erklärte der EuGH, "dass für einen Antrag auf ein Visum mit räumlich beschränkter Gültigkeit, der von einem Drittstaatsangehörigen aus humanitären Gründen auf der Grundlage von Art. 25 [Visakodex] bei der Vertretung des Zielmitgliedstaates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Rechnung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in einem neusten Grundsatzurteil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Nr. 322.126 des SEM vom 25. Februar 2014 [Stand 30. August 2016]). Die Einreisevoraussetzungen sind somit beim Visumverfahren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Für den Sohn der Beschwerdeführerin wird denn auch primär um Ausstellung eines Visums aus humanitären Gründen ersucht (siehe SEM-act. S. 26). Aus den eingereichten Akten geht die klare Absicht eines längerfristigen Aufenthalts hervor (SEM-act. S. 25; die Antwort auf die Frage 25 im Visumsgesuch [25. Dauer des geplanten Aufenthaltes oder der Durchreise] lautet: "permanent stay"). Die Erteilung eines Visums mit Gültigkeit für den gesamten Schengen-Raum fällt - wie in E. 3.4 festgestellt - nicht in Betracht und wurde von der Vorinstanz zu Recht verweigert.</w:t>
      </w:r>
    </w:p>
    <w:p>
      <w:r>
        <w:rPr>
          <w:b/>
        </w:rPr>
        <w:t>E. 6.2</w:t>
      </w:r>
    </w:p>
    <w:p>
      <w:r>
        <w:t>Der Gesuchsteller hält sich derzeit im Norden Indiens, einem Drittstaat, auf. Den Akten sind keine Hinweise zu entnehmen, die auf eine konkrete, unmittelbare und ernsthafte Gefahr für Leib und Leben hindeuten würden, zumal die Grundversorgung in der Regel durch seinen Aufenthalt im SOS-Kinderdorf in X._______ gewährleistet sein dürfte. Somit greift die Regelvermutung, dass keine aktuelle Gefährdung besteht (vgl. BVGE 2015/5 E. 4.1.3 [erster Abschnitt]).</w:t>
      </w:r>
    </w:p>
    <w:p>
      <w:r>
        <w:rPr>
          <w:b/>
        </w:rPr>
        <w:t>E. 6.3</w:t>
      </w:r>
    </w:p>
    <w:p>
      <w:r>
        <w:t>Dem hält die Beschwerdeführerin entgegen, dass ihr Sohn bisher grosses Glück gehabt hätte, da er zuerst von Exil-Tibetern (einem Ehepaar) aufgenommen und versorgt worden sei und, nachdem diese zurück nach Tibet gereist seien, in einem SOS-Kinderdorf (auch dieses werde von Exil-Tibetern geführt) habe unterkommen können. In ihrer Replik vom 9. September 2016 widerspricht die Beschwerdeführerin wiederum der Einschätzung der Vorinstanz, dass sich ihr Sohn nicht in einer unmittelbaren und lebensbedrohlichen Situation befände, und bezeichnet diese Bewertung als falsch. Wiederholt führt sie aus, dass der noch minderjährige Gesuchsteller seit seinem 3. Lebensjahr von ihr getrennt in einem fremden Land lebe und weder über einen gültigen Aufenthaltstitel in Indien verfüge noch einen einzigen in Indien gesprochenen Dialekt spreche. Somit sei es für ihn ausgeschlossen, einer legalen Arbeit nachzugehen. Auch wenn dies zum jetzigen Zeitpunkt noch nicht der Fall sei, so sei es doch nur eine Frage der Zeit, bis ihr Sohn auf der Strasse leben würde und mit den extrem schwierigen und gefährlichen Lebensverhältnissen der indischen Strassen konfrontiert werde. Der glückliche Zufall, dass er bei einem tibetischen Ehepaar habe unterkommen und diese ihm einen Platz im SOS-Kinderdorf hätten organisieren können, würde der Auslegung des SEM zufolge nun zu dessen Verhängnis. Aufgrund der Trennung gehe es ihnen beiden psychisch sehr schlecht. Dieser psychische Druck manifestiere sich bei der Beschwerdeführerin gar im Verlust des Augenlichts. Ihr Gesundheitszustand habe sich innerhalb eines Jahres weiter verschlechtert. Bereits in der Einsprache an die Vorinstanz vom 11. Mai 2016 machte sie geltend, dass sie alleinstehend und ohne Verwandte in der Schweiz sei und ihren Sohn, den sie seit Jahren nicht mehr gesehen habe, wenigstens für die Zeit von drei Monaten in ihrer Nähe haben wolle, bevor sie ganz erblinde. Sie sei auf die Hilfe ihres Sohnes angewiesen, da sie Analphabetin und nie zur Schule gegangen sei, und es ihr auch deshalb sehr schwer falle, sich mit den alltäglichen Dingen zurechtzufinden.</w:t>
      </w:r>
    </w:p>
    <w:p>
      <w:r>
        <w:rPr>
          <w:b/>
        </w:rPr>
        <w:t>E. 6.4</w:t>
      </w:r>
    </w:p>
    <w:p>
      <w:r>
        <w:t>Die Vorinstanz verkennt nicht, dass die Situation des Gesuchstellers in Indien nicht einfach sei. Eine unmittelbare, ernsthafte und konkrete Gefahr für Leib und Leben könne jedoch nicht ausgemacht werden und sei auch nicht hinreichend belegt worden. Selbst wenn der Sohn der Beschwerdeführerin ernsthafte Nachteile in Bezug auf seine Freiheit oder unerträglichen psychischen Druck erlitten hätte, würde dies die Erteilung eines humanitären Visums nicht rechtfertigen. Das Gericht stimmt dieser Einschätzung, wonach es vorliegend an einer unmittelbaren Gefährdung des Gesuchstellers im vorne beschriebenen Sinne fehlt, zu. Weiter ergibt sich aus den Akten, dass die Krankheit der Beschwerdeführerin in der Schweiz behandelt wird und sie gut betreut ist. Es ist verständlich, dass die Beschwerdeführerin unter der Trennung von ihrem Sohn leidet. Ausser Frage steht zudem, dass der Nachzug des Sohnes in psychologischer Hinsicht eine Entlastung sein könnte (vgl. SEM-act. S. 15 und S. 84). Diese Umstände betreffen jedoch den Gesuchsteller nur indirekt und können im vorliegenden Rahmen nicht berücksichtigt werden.</w:t>
      </w:r>
    </w:p>
    <w:p>
      <w:r>
        <w:rPr>
          <w:b/>
        </w:rPr>
        <w:t>E. 6.5</w:t>
      </w:r>
    </w:p>
    <w:p>
      <w:r>
        <w:t>Abschliessend ist noch darauf hinzuweisen, dass die Beschwerdeführerin am 9. März 2015 (kant.-act. 1) bei den zuständigen kantonalen Behörden ein Gesuch um Familiennachzug stellte, auf welches aufgrund der fehlenden zeitlichen Voraussetzung von drei Jahren nach Art. 85 Abs. 7 AuG mit Schreiben vom 7. April 2015 (kant.-act. 5) nicht eingetreten wurde. Gleichzeitig teilte ihr die Migrationsbehörde damals mit, dass die zeitliche Voraussetzung frühestens im Juli 2017 gegeben sei. Es steht ihr somit offen, ein neues Verfahren in diesem Sinne einzuleiten.</w:t>
      </w:r>
    </w:p>
    <w:p>
      <w:r>
        <w:rPr>
          <w:b/>
        </w:rPr>
        <w:t>E. 6.6</w:t>
      </w:r>
    </w:p>
    <w:p>
      <w:r>
        <w:t>Zusammenfassend ist festzustellen, dass das SEM sowohl die Voraussetzungen zur Erteilung eines Schengen-Visums als auch diejenigen zur Ausstellung eines Visums aus humanitären Gründen zu Recht verneint hat.</w:t>
      </w:r>
    </w:p>
    <w:p>
      <w:r>
        <w:rPr>
          <w:b/>
        </w:rPr>
        <w:t>E. 7</w:t>
      </w:r>
    </w:p>
    <w:p>
      <w:r>
        <w:t>Aus den vorstehenden Erwägungen folgt, dass sich die angefochtene Verfügung im Lichte von Art. 49 VwVG als rechtmässig erweist. Die Beschwerde ist daher abzuweisen.</w:t>
      </w:r>
    </w:p>
    <w:p>
      <w:r>
        <w:rPr>
          <w:b/>
        </w:rPr>
        <w:t>E. 8</w:t>
      </w:r>
    </w:p>
    <w:p>
      <w:r>
        <w:t>Bei diesem Ausgang des Verfahrens wären dessen Kosten grundsätzlich der unterlegenen Beschwerdeführerin aufzuerlegen. Im vorliegenden Fall ist jedoch in Anwendung von Art. 63 Abs. 1 in fine VwVG und Art. 6 Bst. b des Reglements vom 21. Februar 2008 über die Kosten und Entschädigungen vor dem Bundesverwaltungsgericht (VGKE, SR 173.320.2) praxisgemäss auf die Erhebung von Verfahrenskosten zu verzichten. Auf den Antrag um Gewährung der unentgeltlichen Rechtspflege (Art. 65 Abs. 1 VwVG) ist damit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