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F-4412/2024 vom 26. Juli 2024</w:t>
      </w:r>
    </w:p>
    <w:p>
      <w:r>
        <w:t>Bundesverwaltungsgericht, 2024-07-26, FR</w:t>
      </w:r>
    </w:p>
    <w:p>
      <w:r>
        <w:rPr>
          <w:b/>
        </w:rPr>
        <w:t xml:space="preserve">Quelle: </w:t>
      </w:r>
      <w:r>
        <w:t>https://mcp.opencaselaw.ch/entscheid/bvger_F-4412_2024</w:t>
      </w:r>
    </w:p>
    <w:p>
      <w:r>
        <w:t>FR: TAF F-4412/2024 du 26 juillet 2024</w:t>
      </w:r>
    </w:p>
    <w:p>
      <w:r>
        <w:t>IT: TAF F-4412/2024 del 26 luglio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Conformément à l'art. 33a al. 2 PA (RS 172.021), dans la procédure de recours, la langue est celle de la décision attaquée. Si les parties utilisent une autre langue officielle, celle-ci peut être adoptée. Toutefois, cela ne se justifie pas dans le cas d'espèce, dans la mesure où, d'une part, l'ensemble du dossier est constitué de pièces rédigées en français (notamment l'entretien Dublin et la décision querellée) et, d'autre part, le recourant séjourne actuellement dans un canton francophone et c'est le canton de B._______ [en Romandie] qui a été chargé de l'exécution de son transfert. De surcroît, l'intéressé est assisté d'un mandataire professionnel dont il peut être attendu qu'il maîtrise de manière suffisante la langue française (cf. ATAF 2020 VI/8 consid. 6.3). La requête tendant à ce que la présente procédure soit menée en allemand est dès lors rejetée.</w:t>
      </w:r>
    </w:p>
    <w:p>
      <w:r>
        <w:rPr>
          <w:b/>
        </w:rPr>
        <w:t>E. 1.3</w:t>
      </w:r>
    </w:p>
    <w:p>
      <w:r>
        <w:t>L'intéressé a qualité pour recourir ; le recours, qui a été interjeté dans la forme et le délai prescrits, est recevable (art. 48 al. 1 et 52 al. 1 PA, applicables par renvoi de l'art. 37 LTAF, et art. 108 al. 3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Celui-ci a reproché, en substance, à l'autorité intimée d'avoir manqué à son devoir d'instruction en lien avec les défaillances dans le système d'asile en Croatie, en particulier concernant les mauvais traitements subis et le risque de refoulement en cascade. Il a, de plus, fait grief au SEM de ne pas avoir tenu compte de son prochain mariage en Suisse. Ces manquements auraient également abouti à une motivation déficiente de la décision attaquée, en particulier quant à l'application de la clause de souveraineté, et donc à une violation de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2.3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2.4</w:t>
      </w:r>
    </w:p>
    <w:p>
      <w:r>
        <w:t>Le Tribunal relève tout d'abord que le recourant a été entendu sur sa situation en Croatie dans le cade de l'entretien Dublin et a pu librement exposer notamment son vécu en lien avec les autorités croates. L'intéressé a alors déclaré avoir été malmené par ces dernières avant d'être refoulé à la frontière avec la Bosnie et Herzégovine. Il ressort de la décision attaquée que le SEM a tenu compte des déclarations de celui-ci relatives à son passage en Croatie et aux mauvais traitements subis à cette occasion. Se fondant principalement sur le rapport le plus récent de l'Ambassade de Suisse en Croatie à sa disposition, l'autorité intimée a dûment analysé l'état actuel de la procédure d'asile et les conditions d'accueil des personnes sollicitant une protection internationale dans ce pays. Elle a, de plus, développé, de manière compréhensible, les raisons pour lesquelles elle déniait l'existence de défaillances systémiques sur place ainsi que de motifs justifiant l'application de la clause de souveraineté. Elle a également expliqué pourquoi le recourant ne pouvait, selon elle, pas se prévaloir de sa relation avec sa compagne alléguée sous l'angle de l'art. 8 CEDH (RS 0.101). Il ne saurait dès lors lui être reproché un défaut d'instruction ou une violation de son devoir de motivation. S'agissant de ce devoir, le Tribunal retient encore qu'il est d'emblée possible de comprendre sur quels motifs l'autorité inférieure s'est fondée pour statuer. La motivation de la décision litigieuse satisfait ainsi aux exigences jurisprudentielles précitées (cf. supra, consid. 2.3). Il sied en outre de constater que l'intéressé, qui a produit un mémoire de recours de 15 pages, n'a aucunement été empêché d'exercer son droit de recours en toute connaissance de cause.</w:t>
      </w:r>
    </w:p>
    <w:p>
      <w:r>
        <w:rPr>
          <w:b/>
        </w:rPr>
        <w:t>E. 2.5</w:t>
      </w:r>
    </w:p>
    <w:p>
      <w:r>
        <w:t>Dans ces conditions, les griefs formels soulevés à l'appui du recours doivent être écartés.</w:t>
      </w:r>
    </w:p>
    <w:p>
      <w:r>
        <w:rPr>
          <w:b/>
        </w:rPr>
        <w:t>E. 3.1</w:t>
      </w:r>
    </w:p>
    <w:p>
      <w:r>
        <w:t>Cela étant,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Aux termes de l'art. 3 par. 1 RD III, une demande de protection internationale est examinée par un seul Etat membre, celui-ci étant déterminé selon les critères fixés à son chapitre III. Dans une procédure de reprise en charge (anglais : take back), tel qu'en l'espèce, il n'y a en principe aucun nouvel examen de la compétence selon ledit chapitre (cf. ATAF 2017 VI/5 consid. 6.2 et 8.2.1 et réf. cit.).</w:t>
      </w:r>
    </w:p>
    <w:p>
      <w:r>
        <w:rPr>
          <w:b/>
        </w:rPr>
        <w:t>E. 3.3</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RD III.</w:t>
      </w:r>
    </w:p>
    <w:p>
      <w:r>
        <w:rPr>
          <w:b/>
        </w:rPr>
        <w:t>E. 3.3.1</w:t>
      </w:r>
    </w:p>
    <w:p>
      <w:r>
        <w:t>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 arrêt de Grande chambre de la Cour de justice de l'Union européenne [CJUE], affaires jointes C-582/17 et C-583/17 du 2 avril 2019, points 47 ss).</w:t>
      </w:r>
    </w:p>
    <w:p>
      <w:r>
        <w:rPr>
          <w:b/>
        </w:rPr>
        <w:t>E. 3.3.2</w:t>
      </w:r>
    </w:p>
    <w:p>
      <w:r>
        <w:t>Lorsque la procédure de détermination de l'Etat responsable n'est pas close, il convient d'appliquer l'art. 20 par. 5 RD III. Ce dernier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de Grande chambre de la CJUE précité points 48 à 50 ; arrêts du TAF F-4485/2022 du 24 août 2023 consid. 4.3, F-5584/2022 du 9 décembre 2022 consid. 3.6 ; F-4447/2022 du 11 octobre 2022 consid. 4.5).</w:t>
      </w:r>
    </w:p>
    <w:p>
      <w:r>
        <w:rPr>
          <w:b/>
        </w:rPr>
        <w:t>E. 3.4</w:t>
      </w:r>
    </w:p>
    <w:p>
      <w:r>
        <w:t>Ainsi qu'il ressort des investigations entreprises par le SEM dans la base de données « Eurodac », le recourant, avant de solliciter l'octroi de l'asile en Suisse, avait déjà déposé une telle demande en Croatie le 26 décembre 2023. Le 19 juin 2024, soit dans le délai prescrit par l'art. 23 par. 2 al. 1 RD III, le SEM a ainsi soumis aux autorités croates une requête aux fins de reprise en charge du recourant fondée sur l'art. 18 par. 1 let. b RD III. Le 3 juillet 2024, soit dans le délai fixé à l'art. 25 par. 1 RD III, les autorités croates ont expressément accepté de reprendre en charge l'intéressé sur la base de l'art. 20 par. 5 RD III, afin de poursuivre la procédure de détermination de l'Etat Dublin compétent.</w:t>
      </w:r>
    </w:p>
    <w:p>
      <w:r>
        <w:rPr>
          <w:b/>
        </w:rPr>
        <w:t>E. 3.5</w:t>
      </w:r>
    </w:p>
    <w:p>
      <w:r>
        <w:t>Au vu de ce qui précède et dans la mesure où aucun élément au dossier n'indique que le recourant aurait quitté le territoire des Etats membres ou aurait obtenu un titre de séjour de la part d'un autre Etat membre dans l'intervalle (art. 20 par. 5 al. 2 RD III), c'est bien la Croatie qui est responsable pour sa procédure d'asile.</w:t>
      </w:r>
    </w:p>
    <w:p>
      <w:r>
        <w:rPr>
          <w:b/>
        </w:rPr>
        <w:t>E. 4.1</w:t>
      </w:r>
    </w:p>
    <w:p>
      <w:r>
        <w:t>Cela dit, il y a lieu d'examiner, en vertu de l'art. 3 par. 2 al. 2 RD III, s'il y a, tel que l'a soutenu l'intéressé, de sérieuses raisons de croire qu'il existe en Croatie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4.2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4.3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4.4</w:t>
      </w:r>
    </w:p>
    <w:p>
      <w:r>
        <w:t>Dans un arrêt de référence rendu à cinq juges et coordonné au sein des Cours IV, V et VI (E-1488/2020 du 22 mars 2023), le Tribunal est arrivé à la conclusion que les requérants transférés en Croatie sur la base du RD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dès lors dénié l'existence, dans la procédure d'asile et les conditions d'accueil en Croatie, de défaillances systémiques au sens de l'art. 3 par. 2 al. 2 et 3 RD III, qui feraient apparaître un transfert de requérants comme généralement inadmissible. Cette jurisprudence n'a pas changé depuis lors (cf., parmi de nombreux arrêts du TAF, E-1488/2020 précité consid. 9.5 ; F-974/2024 du 20 février 2024 consid. 4.2.4).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w:t>
      </w:r>
    </w:p>
    <w:p>
      <w:r>
        <w:rPr>
          <w:b/>
        </w:rPr>
        <w:t>E. 4.5</w:t>
      </w:r>
    </w:p>
    <w:p>
      <w:r>
        <w:t>Par ailleurs, les arguments invoqués par le recourant quant à son refoulement en chaîne après son transfert en Croatie sont sans pertinence sur l'issue de la présente cause. En effet, dans la mesure où c'est à bon droit que le SEM a constaté que cet Etat était compétent pour mener la procédure d'asile de A._______ (cf. supra, consid. 3.5) et que celle-ci y était exempte de défaillances systémiques (cf. supra, consid. 4.4), il n'appartient pas aux autorités suisses de se prononcer sur la question d'une violation du principe de non-refoulement (cf. arrêt de la CJUE du 30 novembre 2023, affaires jointes C-228/21, C-254/21, C-297/21 et C-281/21, points 129 à 142 et ch. 2 du dispositif).</w:t>
      </w:r>
    </w:p>
    <w:p>
      <w:r>
        <w:rPr>
          <w:b/>
        </w:rPr>
        <w:t>E. 5.1</w:t>
      </w:r>
    </w:p>
    <w:p>
      <w:r>
        <w:t>Pour s'opposer à son transfert, l'intéressé a fait valoir qu'il avait subi des violences de la part des autorités croates et qu'il avait été forcé par ces dernières à déposer une demande d'asile. Il a aussi exposé qu'il allait se marier prochainement avec une ressortissante suisse.</w:t>
      </w:r>
    </w:p>
    <w:p>
      <w:r>
        <w:rPr>
          <w:b/>
        </w:rPr>
        <w:t>E. 5.2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5.3</w:t>
      </w:r>
    </w:p>
    <w:p>
      <w:r>
        <w:t>Tout d'abord, s'agissant des craintes exprimées par le recourant d'être, à nouveau, soumis à des violences de la part des autorités s'il devait être transféré vers la Croatie, le Tribunal considère que les déclarations de l'intéressé ne sauraient, à elles seules, suffire à démontrer qu'il serait ou risquerait d'être soumis à des traitements inhumains ou dégradants en cas de transfert vers ce pays. Sans cautionner nullement les mauvais traitements dont le recourant aurait été victime de la part des policiers croates antérieurement au dépôt de sa demande d'asile, il relève que celui-ci est entré illégalement en Croatie. Sa situation initiale ne saurait dès lors être assimilée à celle à laquelle il sera confronté à son retour dans ce pays dans le cadre de la procédure Dublin. Dans son arrêt de référence E-1488/2020 précité (en particulier à son consid. 9.5), le Tribunal est, en effet, parvenu à la conclusion qu'il pouvait continuer à être présumé que les requérants d'asile, retournant en Croatie en vertu de l'application du RD III, avaient accès à une procédure d'asile et à des conditions d'accueil conformes aux règles européennes en la matière.</w:t>
      </w:r>
    </w:p>
    <w:p>
      <w:r>
        <w:rPr>
          <w:b/>
        </w:rPr>
        <w:t>E. 5.4</w:t>
      </w:r>
    </w:p>
    <w:p>
      <w:r>
        <w:t>Quant aux allégués du recourant en lien avec le dépôt d'une demande d'asile contre sa volonté en Croatie, ils tombent à faux. En effet, à teneur de l'art. 14 par. 1 du règlement (UE) no 603/2013 du Parlement européen et du Conseil du 26 juin 2013 relatif à la création d'Eurodac pour la comparaison des empreintes digitales aux fins de l'application efficace du règlement Dublin III (JO L 180/1 du 29.06.2013), les autorités croates avaient le devoir de prélever sans tarder ses empreintes digitales. Le cas échéant, le dépôt d'une demande d'asile n'est alors pas un préalable indispensable à l'application du RD III. De plus, les propos tenus par l'intéressé se limitent à de simples affirmations.</w:t>
      </w:r>
    </w:p>
    <w:p>
      <w:r>
        <w:rPr>
          <w:b/>
        </w:rPr>
        <w:t>E. 5.5</w:t>
      </w:r>
    </w:p>
    <w:p>
      <w:r>
        <w:t>En outre, l'intéressé a implicitement fait valoir le droit au respect de sa vie familiale (art. 8 CEDH), en invoquant le fait qu'il allait prochainement se marier avec une ressortissante suisse. Cela étant, l'intéressé n'a pas démontré entretenir avec sa fiancée une relation qui reflète des liens personnels étroits. En effet, lors de son entretien Dublin, il a simplement allégué avoir une compagne de nationalité suisse qui avait entrepris des démarches en vue de se marier avec lui. Toutefois, lors de l'enregistrement de sa demande d'asile, il a indiqué qu'aucun membre de sa famille ne séjournait en Suisse. Quant aux documents joints au recours, s'ils attestent l'introduction d'une procédure préparatoire de mariage ainsi qu'un entretien à l'Office de l'état civil de la ville de C._______, ils ne permettent pas pour autant d'admettre qu'un mariage serait imminent. Dans ce contexte, il n'y a pas lieu de considérer que la relation entre les intéressés ait atteint le degré de stabilité et d'intensité requis par la jurisprudence pour pouvoir être assimilée à une union conjugale (cf. ATF 144 I 266 consid. 2.5 ; arrêts du Tribunal fédéral 2C_72/2019 du 7 juin 2019 consid. 6.1 ; 2C_162/2018 du 25 mai 2018 consid. 4.1). Dans ces conditions, l'intéressé ne peut se prévaloir d'une vie familiale protégée par l'art. 8 CEDH et son transfert vers la Croatie n'emporte pas violation de ladite disposition.</w:t>
      </w:r>
    </w:p>
    <w:p>
      <w:r>
        <w:rPr>
          <w:b/>
        </w:rPr>
        <w:t>E. 5.6</w:t>
      </w:r>
    </w:p>
    <w:p>
      <w:r>
        <w:t>Il s'ensuit que le transfert du recourant en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6</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les requêtes formulées dans le recours tendant à l'octroi de l'effet suspensif et à la dispense du paiement d'une avance de frais sont sans objet.</w:t>
      </w:r>
    </w:p>
    <w:p>
      <w:r>
        <w:rPr>
          <w:b/>
        </w:rPr>
        <w:t>E. 8.1</w:t>
      </w:r>
    </w:p>
    <w:p>
      <w:r>
        <w:t>Par ailleurs, les conclusions du recours étant d'emblée vouées à l'échec, la demande d'assistance judiciaire partielle est rejetée.</w:t>
      </w:r>
    </w:p>
    <w:p>
      <w:r>
        <w:rPr>
          <w:b/>
        </w:rPr>
        <w:t>E. 8.2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