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F-4405/2016 vom 28. Juni 2017</w:t>
      </w:r>
    </w:p>
    <w:p>
      <w:r>
        <w:t>Bundesverwaltungsgericht, 2017-06-28, DE</w:t>
      </w:r>
    </w:p>
    <w:p>
      <w:r>
        <w:rPr>
          <w:b/>
        </w:rPr>
        <w:t xml:space="preserve">Quelle: </w:t>
      </w:r>
      <w:r>
        <w:t>https://mcp.opencaselaw.ch/entscheid/bvger_F-4405_2016</w:t>
      </w:r>
    </w:p>
    <w:p>
      <w:r>
        <w:t>FR: TAF F-4405/2016 du 28 juin 2017</w:t>
      </w:r>
    </w:p>
    <w:p>
      <w:r>
        <w:t>IT: TAF F-4405/2016 del 28 giugno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Die Beschwerdeführerin ist als Verfügungsadressatin legitimiert (Art. 48 Abs. 1 VwVG). Auf die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Was die formelle Rüge der Beschwerdeführerin betrifft, wonach die angefochtene Verfügung keine Unterschrift enthält, hat das Bundesverwaltungsgericht in einem Grundsatzentscheid festgehalten, dass Verfügungen betreffend Erlass eines Einreiseverbots auch ohne Unterschrift rechtskonform sind (vgl. Urteil des BVGer C-2492/2008 vom 31. August 2009 E. 3.3, zuletzt bestätigt in F-936/2014 vom 20. Februar 2017 E. 3). Es sind in casu keine Gründe ersichtlich, von dieser Rechtsprechung abzuweichen. Die Rüge ist demzufolge unbegründet.</w:t>
      </w:r>
    </w:p>
    <w:p>
      <w:r>
        <w:rPr>
          <w:b/>
        </w:rPr>
        <w:t>E. 4.1</w:t>
      </w:r>
    </w:p>
    <w:p>
      <w:r>
        <w:t>Gemäss Art. 67 Abs. 2 Bst. a AuG kann das SEM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4.2</w:t>
      </w:r>
    </w:p>
    <w:p>
      <w:r>
        <w:t>Das in Art. 67 AuG geregelte Einreiseverbot, welches die Einreise oder die Rückkehr einer unerwünschten Ausländerin oder eines unerwünschten Ausländers verhindern soll, stellt keine Sanktion für vergangenes Fehlverhalten dar, sondern ist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142.021)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Von daher ist die Anordnung eines Einreiseverbots vom Risiko einer künftigen Gefährdung - anknüpfend an das frühere Verhalten der betroffenen Person - abhängig (vgl. Urteil des BVGer C-3791/2013 vom 26. September 2014 E. 3.3 m.H.), weshalb ein solches Risiko bereits von Gesetzes wegen vermutet wird (vgl. Botschaft, a.a.O., S. 3760).</w:t>
      </w:r>
    </w:p>
    <w:p>
      <w:r>
        <w:rPr>
          <w:b/>
        </w:rPr>
        <w:t>E. 5</w:t>
      </w:r>
    </w:p>
    <w:p>
      <w:r>
        <w:t>Vorweg gilt es festzuhalten, dass der Beschwerdeführerin nicht explizit vorgeworfen wurde, sich illegal in der Schweiz aufgehalten zu haben. Schliesslich wurde ihr gestattet, sich während des von ihr eingeleiteten Wiedererwägungsverfahrens weiterhin in der Schweiz aufzuhalten (die ihr nach dem Widerruf der Aufenthaltsbewilligung angesetzte Ausreisefrist wurde jeweils erstreckt bzw. neu angesetzt). Andererseits trifft es nicht zu, dass sie die Schweiz freiwillig verlassen hat.</w:t>
      </w:r>
    </w:p>
    <w:p>
      <w:r>
        <w:rPr>
          <w:b/>
        </w:rPr>
        <w:t>E. 6.1</w:t>
      </w:r>
    </w:p>
    <w:p>
      <w:r>
        <w:t>Die Vorinstanz stützt das Einreiseverbot hauptsächlich darauf, dass die Beschwerdeführerin zwecks Umgehung der ausländerrechtlichen Vorschriften (Festhalten an der Ehe zu ehefremden Zwecken) versucht habe, die Behörden zu täuschen, um so ihren Verbleib in der Schweiz sicherstellen zu können.</w:t>
      </w:r>
    </w:p>
    <w:p>
      <w:r>
        <w:rPr>
          <w:b/>
        </w:rPr>
        <w:t>E. 6.2</w:t>
      </w:r>
    </w:p>
    <w:p>
      <w:r>
        <w:t>Nach bundesverwaltungsgerichtlicher Rechtsprechung ist von einem klaren und schwerwiegenden Verstoss gegen die öffentliche Ordnung auszugehen, wenn eine ausländische Person eine Ehe deshalb eingeht bzw. eine gelebte und intakte Ehe vortäuscht, um ausländerrechtliche Bestimmungen zu umgehen (vgl. Urteil des BVGer F-4369/2015 vom 18. Oktober 2016 E. 4.4 m.H.), was im Übrigen auch spezialgesetzlich unter Strafe gesetzt ist ("Täuschung der Behörden"; Art. 118 AuG). Ob eine Scheinehe geschlossen wurde bzw. - wie im vorliegenden Fall der Beschwerdeführerin vorgeworfen - an der Ehe festgehalten wird, um den Aufenthalt zu sichern, entzieht sich in der Regel dem direkten Beweis und ist nur durch Indizien zu erstellen (vgl. zum ganzen BGE 128 II 145 E. 3).</w:t>
      </w:r>
    </w:p>
    <w:p>
      <w:r>
        <w:rPr>
          <w:b/>
        </w:rPr>
        <w:t>E. 6.3</w:t>
      </w:r>
    </w:p>
    <w:p>
      <w:r>
        <w:t>In ihrer Rechtsmitteleingabe behauptet die Beschwerdeführerin nicht (mehr), dass die eheliche Gemeinschaft nach der Trennung im Oktober 2010 wieder aufgenommen worden sei. Aufgrund der ausführlichen und nachvollziehbaren Erwägungen des Verwaltungsgerichts des Kantons Zürich vom 3. September 2014 (vgl. SEM act. 1/1-24) steht für das Bundesverwaltungsgericht ausser Zweifel, dass es der Beschwerdeführerin bei der Einreichung des Wiedererwägungsgesuches im Juli 2011 lediglich darum gegangen ist, ausländerrechtliche Vorschriften zu umgehen, um ein Bleiberecht zu erwirken, ohne aber eine wirkliche Lebensgemeinschaft als Ehepaar führen zu wollen. So gab sie anlässlich des Widerrufsverfahrens gegenüber den Migrationsbehörden mit Schreiben vom 16. März 2011 bekannt, die eheliche Gemeinschaft im Oktober 2010 aufgegeben zu haben, nicht mit deren baldigen Wiederaufnahme zu rechnen und die Scheidung zu beabsichtigen. In einem weiteren Schreiben vom 30. März 2011 teilte sie überdies sinngemäss mit, nur noch zur Erlangung der italienischen Staatsbürgerschaft an der Ehe festzuhalten. Gegen ein gelebtes eheliches Zusammenleben ab Juli 2011 sprechen sodann die Feststellungen der Polizeibeamten anlässlich einer unangekündigten Kontrolle am mutmasslichen gemeinsamen Wohnsitz der Ehegatten vom 1. August 2011 (spärlich eingerichtete Wohnung, keinerlei sichtbare Küchenutensilien, keine Bettanzüge, Zeitungen, Post oder andere Dokumente, Kleider der Beschwerdeführerin nicht in einem Schrank sondern in einem Koffer verstaut). Auch die von ihr aufgeführten Trennungs- und Versöhnungsgründe erscheinen wenig glaubhaft und damit ungeeignet, eine gelebte eheliche Gemeinschaft darzulegen (andere Angaben als im Verfahren betreffend Widerruf der Aufenthaltsbewilligung, vgl. E. 5.3.2 des Urteils des Verwaltungsgerichts des Kantons Zürich vom 3. September 2014). Ferner deuten die Chronologie der Ereignisse (Ehegatten erst nach dem Widerruf der Aufenthaltsbewilligung und unmittelbar vor Ablauf der Ausreisefrist wieder zusammengezogen) und das weitgehend desinteressierte Verhalten des Ehegatten (u.a. leistete er den polizeilichen Vorladungen unentschuldigt keine Folge) klar darauf hin, dass die Wiederaufnahme des Zusammenlebens Ende Juni 2011 lediglich zur weiteren Aufenthaltssicherung erfolgte und eine über zeitweiliges Zusammenwohnen hinausgehende eheliche Gemeinschaft lediglich vorgetäuscht worden ist. Die Voraussetzungen für ein Einreiseverbot gemäss Art. 67 Abs. 2 Bst. a AuG sind somit fraglos erfüllt.</w:t>
      </w:r>
    </w:p>
    <w:p>
      <w:r>
        <w:rPr>
          <w:b/>
        </w:rPr>
        <w:t>E. 7.1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w:t>
      </w:r>
    </w:p>
    <w:p>
      <w:r>
        <w:rPr>
          <w:b/>
        </w:rPr>
        <w:t>E. 7.2</w:t>
      </w:r>
    </w:p>
    <w:p>
      <w:r>
        <w:t>Die Beschwerdeführerin hat - wie bereits gesagt - den Ausländerbehörden vorgetäuscht, ab Juli 2011 in einer intakten Ehe mit einem hier niedergelassenen italienischen Staatsangehörigen zu leben, obwohl die Ehe spätestens ab Oktober 2010 gescheitert war. Dadurch hat sie sich erhebliche aufenthaltsrechtliche Vorteile verschafft. Solches Fehlverhalten wiegt objektiv schwer. Aus dem von ihr manifestierten Verhalten ist auf eine Gefährdung der öffentlichen Sicherheit und Ordnung zu schliessen, d.h. das Einreiseverbot hat auch spezialpräventiven Charakter, um weiteren illegalen Handlungen entgegenzuwirken.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Interesse an der Fernhaltung der Beschwerdeführerin.</w:t>
      </w:r>
    </w:p>
    <w:p>
      <w:r>
        <w:rPr>
          <w:b/>
        </w:rPr>
        <w:t>E. 7.3</w:t>
      </w:r>
    </w:p>
    <w:p>
      <w:r>
        <w:t>Den öffentlichen Interessen sind die privaten Interessen der Beschwerdeführerin gegenüberzustellen. Diesbezüglich ergibt sich aus den Akten lediglich, dass sie in der Schweiz einen hier lebenden Bekannten ferienhalber besuchen möchte (vgl. SEM act. 8/129). Dass es sich um eine ernsthafte Beziehung handelt, wird nicht geltend gemacht. Sollte es sich wirklich um eine ernsthafte und enge Beziehung handeln, hat die Beschwerdeführerin die Möglichkeit, bei der Vorinstanz ein begründetes Gesuch um eine zeitlich befriste Aufhebung des Einreiseverbots (Suspension) einzureichen (vgl. Art. 67 Abs. 5 AuG). Andernfalls ist es ihr zuzumuten, den Kontakt zu ihrem Bekannten mit anderen Mitteln zu pflegen (Briefe, Telefonate, Skype usw.). Weitere private Interessen an unkontrollierten Einreisen in die Schweiz bzw. in den Schengen-Raum werden nicht vorgebracht.</w:t>
      </w:r>
    </w:p>
    <w:p>
      <w:r>
        <w:rPr>
          <w:b/>
        </w:rPr>
        <w:t>E. 7.4</w:t>
      </w:r>
    </w:p>
    <w:p>
      <w:r>
        <w:t>Eine wertende Gewichtung der sich entgegenstehenden Interessen führt damit zum Schluss, dass das auf drei Jahre befristete Einreiseverbot auch unter Berücksichtigung der gängigen Praxis in vergleichbaren Fällen eine verhältnismässige und angemessene Massnahme zum Schutz der öffentlichen Sicherheit darstellt. Es erübrigt sich deshalb auch zu prüfen, ob die Beschwerdeführerin - wie in der angefochtenen Verfügung festgehalten - während ihres Aufenthaltes in der Schweiz erhebliche Sozialhilfekosten verursacht hat oder nicht.</w:t>
      </w:r>
    </w:p>
    <w:p>
      <w:r>
        <w:rPr>
          <w:b/>
        </w:rPr>
        <w:t>E. 8</w:t>
      </w:r>
    </w:p>
    <w:p>
      <w:r>
        <w:t>Schliesslich bleibt die Rechtmässigkeit der von der Vorinstanz angeordneten und von der Beschwerdeführerin beanstandeten Ausschreibung des Einreiseverbots im SIS zu prüfen.</w:t>
      </w:r>
    </w:p>
    <w:p>
      <w:r>
        <w:rPr>
          <w:b/>
        </w:rPr>
        <w:t>E. 8.1</w:t>
      </w:r>
    </w:p>
    <w:p>
      <w:r>
        <w:t>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der Verordnung [EU] Nr. 2016/399 des Europäischen Parlaments und des Rates vom 9. März 2016 [kodifizierter Text] über einen Gemeinschaftskodex für das Überschreiten der Grenze durch Personen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8.2</w:t>
      </w:r>
    </w:p>
    <w:p>
      <w:r>
        <w:t>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der Verordnung [EG] Nr. 1987/2006 über die Einrichtung, den Betrieb und die Nutzung des Schengener Informationssystems der zweiten Generation [SIS-II-VO, Abl. L 381/4 vom 28. Dezember 2006]).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welche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plant (Art. 24 Ziff. 2 Bst. b SIS-II-VO). Weiter kann eine Ausschreibung eingegeben werden, wenn die Entscheidung nach Ziff. 1 darauf beruht, dass der Drittstaatsangehörige ausgewiesen, zurückgeschoben oder ausgeschafft worden ist (Art. 24 Ziff. 3 erster Teilsatz SIS-II-VO).</w:t>
      </w:r>
    </w:p>
    <w:p>
      <w:r>
        <w:rPr>
          <w:b/>
        </w:rPr>
        <w:t>E. 8.3</w:t>
      </w:r>
    </w:p>
    <w:p>
      <w:r>
        <w:t>Die Beschwerdeführerin kann als Drittstaatsangehörige grundsätzlich zur Einreise- bzw. Aufenthaltsverweigerung im SIS ausgeschrieben werden. Gemäss Art. 24 Abs. 3 SIS-II-VO sind die Voraussetzungen für die Ausschreibung zur Einreiseverweigerung im SIS gegeben. Die Vorinstanz hat die Ausschreibung demnach zurecht erlassen, ist doch die Schweiz dem Grundsatz der loyalen Zusammenarbeit bei der Administration des gemeinsamen Raums der Freiheit, der Sicherheit und des Rechts, auf dem das Schengen-System beruht, zur Wahrung der Interessen der Gesamtheit der Schengen-Staaten verpflichtet (BVGE 2011/48 E. 6.1). Die Schweiz hat damit in Rechnung zu stellen, dass wegen des Wegfalls der systematischen Personenkontrollen an den Schengen-Innengrenzen Einreiseverbote und ähnliche Massnahmen ihre volle Wirkung nur entfalten können, wenn sich ihre Geltung und ihre Durchsetzbarkeit nicht auf einzelne Schengen-Staaten beschränken. Eine mit der Ausschreibung einhergehende zusätzliche Beeinträchtigung der persönlichen Bewegungsfreiheit hat die Beschwerdeführerin mithin in Kauf zu nehmen (vgl. Urteil des BVGer C-7086/2014 vom 14. Oktober 2015 E. 6.4).</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sind die Kosten der Beschwerdeführerin aufzuerlegen (vgl. Art. 63 Abs. 1 VwVG i.V.m. Art. 1 ff.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