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F-4403/2023 vom 13. Juli 2023</w:t>
      </w:r>
    </w:p>
    <w:p>
      <w:r>
        <w:t>Bundesverwaltungsgericht, 2023-07-13, DE</w:t>
      </w:r>
    </w:p>
    <w:p>
      <w:r>
        <w:rPr>
          <w:b/>
        </w:rPr>
        <w:t xml:space="preserve">Quelle: </w:t>
      </w:r>
      <w:r>
        <w:t>https://mcp.opencaselaw.ch/entscheid/bvger_F-4403_2023_d20230713</w:t>
      </w:r>
    </w:p>
    <w:p>
      <w:r>
        <w:t>FR: TAF F-4403/2023 du 13 juillet 2023</w:t>
      </w:r>
    </w:p>
    <w:p>
      <w:r>
        <w:t>IT: TAF F-4403/2023 del 13 luglio 2023</w:t>
      </w:r>
    </w:p>
    <w:p>
      <w:pPr>
        <w:pStyle w:val="Heading2"/>
      </w:pPr>
      <w:r>
        <w:t>Regeste</w:t>
      </w:r>
    </w:p>
    <w:p>
      <w:r>
        <w:t>Schengen-Visum | Schengen-Visum; Verfügung des SEM vom 13. Juli 2023</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(BVGE 2020 VII/4 E. 2.2 m.H.).</w:t>
      </w:r>
    </w:p>
    <w:p>
      <w:r>
        <w:rPr>
          <w:b/>
        </w:rPr>
        <w:t>E. 3.1</w:t>
      </w:r>
    </w:p>
    <w:p>
      <w:r>
        <w:t>Dem angefochtenen Entscheid liegt das Gesuch von vier thailändi- schen Staatsangehörigen um Erteilung von Visa zu Besuchszwecken für die Schweiz zugrunde. Da sie sich als sogenannte Drittstaatsangehörige nicht aus eigenem und vorliegend auch nicht aus abgeleitetem Recht auf die EU/EFTA-Personenfreizügigkeitsabkommen berufen können und die beabsichtigte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w:t>
      </w:r>
    </w:p>
    <w:p>
      <w:r>
        <w:t>F-4403/2023 Seite 4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w:t>
      </w:r>
    </w:p>
    <w:p>
      <w:r>
        <w:t>F-4403/2023 Seite 5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Thailändische Staatsangehörige in der Situation der Gesuchstellenden unterstehen der Visumpflicht (Art. 3 Abs. 1 der Verordnung (EU) 2018/1806 i.V.m. deren Anhang I Ziff. 1). Die Erteilung eines Visums wurde ihnen auf Einsprache hin verweigert, weil keine hinreichenden Gründe für eine frist- gerechte und anstandslose Wiederausreise bestünden. Damit wurde auf den Verweigerungsgrund des Art. 32 Abs. 1 Bst. b VK Bezug genommen, demgemäss das Visum der gesuchstellenden Person zu verweigern ist, «wenn begründete Zweifel (…) an der Glaubwürdigkeit (ihrer) Aussagen</w:t>
      </w:r>
    </w:p>
    <w:p>
      <w:r>
        <w:t>F-4403/2023 Seite 6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Die Beschwerdeführenden stammen aus der Provinz Nakhon Ratchasima in Thailand.</w:t>
      </w:r>
    </w:p>
    <w:p>
      <w:r>
        <w:rPr>
          <w:b/>
        </w:rPr>
        <w:t>E. 6.2</w:t>
      </w:r>
    </w:p>
    <w:p>
      <w:r>
        <w:t>Thailand gehört gemäss dem Human Development Index (HDI), wel- cher die sozioökonomische Entwicklung eines Landes misst, mit einem HDI von 0.8 zu den sehr hoch entwickelten Ländern. Der Human Capital Index (HCI), der Auskunft über die sozioökonomischen Möglichkeiten gibt, platziert Thailand bei 0.61 und damit über dem Durchschnittswert Süd- ostasiens und der Kategorie «upper middle income countries» (vgl. https://hdr.undp.org/data-center/specific-country-data#/countries/TH A; https://databankfiles.worldbank.org/public/ddpext_download/hci/ HCI_2 pager_THA.pdf?cid=GGH_e_hcpexternal_en_ext, beide abgerufen am 13.02.2024). Thailands Wirtschaft ist die zweitgrösste in Südostasien und ist in den letzten vier Jahrzenten stark gewachsen. Allerdings hat sich das Wachstum in den letzten Jahren aufgrund der Covid-19-Pandemie und an- derer Faktoren verlangsamt (vgl. https://www.reuters.com/markets/asia/th ailand-downgrades-2024-gdp-growth-projection-28-2024-01-23/; https://w ww.worldbank.org/en/country/thailand/overview; https://www.df at.gov.au/s ites/default/files/country-information-report-thailand.pdf, alle abgerufen am 13.02.2024).</w:t>
      </w:r>
    </w:p>
    <w:p>
      <w:r>
        <w:t>F-4403/2023 Seite 7 Die wirtschaftliche Ungleichheit ist in Thailand im Vergleich zu anderen Ländern sehr ausgeprägt (vgl. https://www.dfat.gov.au/sites/default/fi- les/country-information-report-thailand.pdf; https://bti-project.org/de/report s/country-report/THA; https://www.worldbank.org/en/country/thailand/publi cation/bridging-the-gap-inequality-and-jobs-in-thailand, alle abgerufen am 13.02.2024). Insbesondere die räumlichen Disparitäten zwischen und in- nerhalb von Regionen tragen zur Aufrechterhaltung der Einkommensun- gleichheit bei. Die Armutsrate in der Region Northeast (auch Isan genannt), zu der Nakhon Ratchasima gehört, ist höher als in den anderen Regionen Thailands und auch das Bruttoinlandsprodukt (BIP) liegt weit unter dem thailändischen Durchschnitt (vgl. https://documents1.worldbank.org/cura- ted/en/099112823133018003/pdf/P17759905901d70ed0a968052455d52 52f0.pdf; https://documents1.worldbank.org/curated/en/09900501020229 9399/pdf/P1775991e5f180ee130cf14572184e61f60735628d80.pdf; https: //asiafoundation.org/wp-content/uploads/2019/06/TH_Isan_report_2019_r e.pdf, alle abgerufen am 13.02.2024).</w:t>
      </w:r>
    </w:p>
    <w:p>
      <w:r>
        <w:rPr>
          <w:b/>
        </w:rPr>
        <w:t>E. 6.3</w:t>
      </w:r>
    </w:p>
    <w:p>
      <w:r>
        <w:t>Nach dem Gesagten durfte die Vorinstanz davon ausgehen, dass es sich bei der Region Nakhon Ratchasima um eine Region mit zumindest wirtschaftlich ungünstigen Verhältnissen handelt. Als besonders ungünstig sind Verhältnisse im globalen Vergleich indes nicht zu qualifizieren. Es ist daher zwar nicht zu beanstanden, dass die Vorinstanz das allgemeine Ri- siko einer nicht fristgerechten Wiederausreise von Personen aus dieser Region grundsätzlich als hoch einschätzt. Jedoch darf in Bezug auf die konkreten Lebensumstände der gesuchstellenden Person kein allzu stren- ger Massstab angesetzt werden (vgl. dazu nachfolgend E. 7.1).</w:t>
      </w:r>
    </w:p>
    <w:p>
      <w:r>
        <w:rPr>
          <w:b/>
        </w:rPr>
        <w:t>E. 7.1</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w:t>
      </w:r>
    </w:p>
    <w:p>
      <w:r>
        <w:t>F-4403/2023 Seite 8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7.2</w:t>
      </w:r>
    </w:p>
    <w:p>
      <w:r>
        <w:t>Die Gesuchstellenden möchten den Beschwerdeführer und seine Le- benspartnerin in der Schweiz besuchen. Bei den Gesuchstellenden han- delt es sich um die Tochter (B._______; geb. 1990, Gesuchstellerin 1) und die Enkelin (C._______, geb. 2011; Gesuchstellerin 2) der Lebenspartnerin des Beschwerdeführers sowie um den Ehemann der Gesuchstellerin 1 (D.________, geb. 1991; Gesuchsteller 3) und dessen Sohn (E._______ geb. 2016; Gesuchsteller 4). Aus den vorinstanzlichen Akten geht hervor, dass beide Kinder aus frühe- ren Ehen stammen. Die Gesuchstellerin 1 übt das alleinige elterliche Sor- gerecht für die Gesuchstellerin 2 aus. Der Gesuchsteller 3 teilt sich das Sorgerecht für den Gesuchsteller 4 hingegen mit seiner früheren Ehefrau.</w:t>
      </w:r>
    </w:p>
    <w:p>
      <w:r>
        <w:rPr>
          <w:b/>
        </w:rPr>
        <w:t>E. 7.3</w:t>
      </w:r>
    </w:p>
    <w:p>
      <w:r>
        <w:t>In Bezug auf die familiäre Situation wird vorgebracht, dass die Ge- schwister, Eltern und Grosseltern der Gesuchstellenden in Thailand woh- nen. Einzig die Mutter der Gesuchstellerin 1 lebt in der Schweiz (vgl. Stel- lungnahme vom 7. Juni 2023 und Einsprache vom 22. April 2023). Gleich- wohl bestehen in Bezug auf die Gesuchstellenden 1-3 in Thailand, nicht zuletzt da die Kernfamilie mitreist, keine besonderen familiären Verpflich- tungen im Sinne der Rechtsprechung. In Bezug auf den Gesuchsteller 4 ist festzuhalten, dass seine Mutter und somit ein wichtiger Teil der Kernfamilie in Thailand verbleibt. Aus den Akten geht jedoch hervor, dass der Gesuch- steller 4 massgeblich von den Gesuchstellenden 1 und 3 betreut wird und die Gesuchstellenden zusammen als Familie leben. Dies führt zu einer er- heblichen Relativierung der dem Gesuchsteller 4 grundsätzlich zu attestie- renden familiären Bindungen in Thailand.</w:t>
      </w:r>
    </w:p>
    <w:p>
      <w:r>
        <w:rPr>
          <w:b/>
        </w:rPr>
        <w:t>E. 7.4</w:t>
      </w:r>
    </w:p>
    <w:p>
      <w:r>
        <w:t>In Bezug auf die wirtschaftliche Situation der Gesuchstellenden 1 und 3 wird geltend gemacht, dass die Gesuchstellerin 1 im Jahr 2020 in ihrer Ortschaft ein erfolgreiches Café eröffnet habe und darin einiges an finan- ziellen Mitteln, auch von Seiten des Beschwerdeführers, investiert worden sei (vgl. Beschwerdeschrift vom 13. August 2023 und Einsprache vom 22. April 2023). Als Beleg reichte der Beschwerdeführer einzig Unterlagen</w:t>
      </w:r>
    </w:p>
    <w:p>
      <w:r>
        <w:t>F-4403/2023 Seite 9 in Thaischrift ein und verzichtete ausdrücklich darauf, diese in eine Amts- sprache übersetzen zu lassen. In der Stellungnahme vom 7. Juni 2023 gab der Beschwerdeführer an, dass der Gesuchsteller 3 bei dessen Vater im Betrieb helfe. Er machte dazu keine näheren Angaben und reichte auch keine Belege ein, obwohl die Vorinstanz in der angefochtenen Verfügung diesen Punkt ausdrücklich bemängelt hatte. Nach dem Gesagten sind die vorgebrachten wirtschaftlichen Tätigkeiten der Gesuchstellenden nicht rechtsgenügend belegt. Es kann nicht davon ausgegangen werden, dass besondere berufliche Verpflichtungen im Sinne der Rechtsprechung vorliegen.</w:t>
      </w:r>
    </w:p>
    <w:p>
      <w:r>
        <w:rPr>
          <w:b/>
        </w:rPr>
        <w:t>E. 7.5</w:t>
      </w:r>
    </w:p>
    <w:p>
      <w:r>
        <w:t>Dass die Gesuchstellerinnen 1 und 2 bereits vor fünf Jahren ein Schen- gen-Visum für einen dreimonatigen Besuchsaufenthalt erhalten haben und rechtzeitig wieder ausgereist sind, spricht grundsätzlich – wenn auch nur zu einem gewissen Grad und für sich allein nicht hinreichend – für die er- neute Annahme einer gesicherten Wiederausreise und Erteilung der nach- gesuchten Visa. Da diesmal aber auch die Gesuchsteller 3 und 4 und damit die gesamte Kernfamilie mitreist, genügt das bisherige regelkonforme Ver- halten eines Teils der Gesuchstellenden umso weniger, um die Bedenken hinsichtlich einer fristgerechten und anstandslosen Wiederausreise zu zer- streuen.</w:t>
      </w:r>
    </w:p>
    <w:p>
      <w:r>
        <w:rPr>
          <w:b/>
        </w:rPr>
        <w:t>E. 7.6</w:t>
      </w:r>
    </w:p>
    <w:p>
      <w:r>
        <w:t>Nach dem Gesagten ist bei objektiver Betrachtung das Risiko eines ausländerrechtlich nicht regelkonformen Verhaltens nach einer bewilligten Einreise der Gesuchstellenden 1–4 zu Besuchszwecken als vergleichs- weise hoch einzuschätzen. Die Vorinstanz durfte rechtsfehlerfrei davon ausgehen, dass vor dem Hintergrund der allgemeinen Lage in der thailän- dischen Provinz Nakhon Ratchasima die persönlichen Lebensumstände der Gesuchstellenden keine ausreichende Gewähr für eine fristgerechte und anstandslose Wiederausreise nach einem Besuchsaufenthalt in der Schweiz bieten. Mit der fehlenden Gewähr für eine anstandslose Wiederausreise ist eine zwingende Voraussetzung für die Erteilung eines Visums nicht erfüllt. Gründe für die Ausstellung eines VrG-Visums nach Art. 25 VK wurden von den Beteiligten zu Recht nicht geltend gemacht und solche sind auch nicht ersichtlich.</w:t>
      </w:r>
    </w:p>
    <w:p>
      <w:r>
        <w:t>F-4403/2023 Seite 10</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w:t>
      </w:r>
    </w:p>
    <w:p>
      <w:r>
        <w:rPr>
          <w:b/>
        </w:rPr>
        <w:t>E. 10</w:t>
      </w:r>
    </w:p>
    <w:p>
      <w:r>
        <w:t>Dieses Urteil ist endgültig (Art. 83 Bst. c Ziff. 1 BGG). (Dispositiv nächste Seite)</w:t>
      </w:r>
    </w:p>
    <w:p>
      <w:r>
        <w:t>F-4403/2023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