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F-4398/2018 vom 9. Oktober 2018</w:t>
      </w:r>
    </w:p>
    <w:p>
      <w:r>
        <w:t>Bundesverwaltungsgericht, 2018-10-09, DE</w:t>
      </w:r>
    </w:p>
    <w:p>
      <w:r>
        <w:rPr>
          <w:b/>
        </w:rPr>
        <w:t xml:space="preserve">Quelle: </w:t>
      </w:r>
      <w:r>
        <w:t>https://mcp.opencaselaw.ch/entscheid/bvger_F-4398_2018</w:t>
      </w:r>
    </w:p>
    <w:p>
      <w:r>
        <w:t>FR: TAF F-4398/2018 du 9 octobre 2018</w:t>
      </w:r>
    </w:p>
    <w:p>
      <w:r>
        <w:t>IT: TAF F-4398/2018 del 9 ottobre 2018</w:t>
      </w:r>
    </w:p>
    <w:p>
      <w:pPr>
        <w:pStyle w:val="Heading2"/>
      </w:pPr>
      <w:r>
        <w:t>Regeste</w:t>
      </w:r>
    </w:p>
    <w:p>
      <w:r>
        <w:t>Einreiseverbot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die angefochtene Verfügung vom 27. Juni 2018 aufgehoben.</w:t>
      </w:r>
    </w:p>
    <w:p>
      <w:r>
        <w:rPr>
          <w:b/>
        </w:rPr>
        <w:t>E. 2</w:t>
      </w:r>
    </w:p>
    <w:p>
      <w:r>
        <w:t>Die Sache wird zur neuen Beurteilung an das SEM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 Vorinstanz wird verpflichtet, dem Beschwerdeführer für das Verfahren vor dem Bundesverwaltungsgericht eine Parteientschädigung von Fr. 2'000.- auszurichten.</w:t>
      </w:r>
    </w:p>
    <w:p>
      <w:r>
        <w:rPr>
          <w:b/>
        </w:rPr>
        <w:t>E. 5</w:t>
      </w:r>
    </w:p>
    <w:p>
      <w:r>
        <w:t>Dieses Urteil geht an: - den Beschwerdeführer (Einschreiben) - die Vorinstanz (Beilage: Doppel der Eingabe vom 27. August 2018; Akten Ref-Nr. [...] zurück) - das Migrationsamt des Kantons Zürich Der vorsitzende Richter: Der Gerichtsschreiber: Fulvio Haefeli Rudolf Grun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