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F-4396/2023 vom 10. Juni 2024</w:t>
      </w:r>
    </w:p>
    <w:p>
      <w:r>
        <w:t>Bundesverwaltungsgericht, 2024-06-10, DE</w:t>
      </w:r>
    </w:p>
    <w:p>
      <w:r>
        <w:rPr>
          <w:b/>
        </w:rPr>
        <w:t xml:space="preserve">Quelle: </w:t>
      </w:r>
      <w:r>
        <w:t>https://mcp.opencaselaw.ch/entscheid/bvger_F-4396_2023</w:t>
      </w:r>
    </w:p>
    <w:p>
      <w:r>
        <w:t>FR: TAF F-4396/2023 du 10 juin 2024</w:t>
      </w:r>
    </w:p>
    <w:p>
      <w:r>
        <w:t>IT: TAF F-4396/2023 del 10 giugno 2024</w:t>
      </w:r>
    </w:p>
    <w:p>
      <w:pPr>
        <w:pStyle w:val="Heading2"/>
      </w:pPr>
      <w:r>
        <w:t>Regeste</w:t>
      </w:r>
    </w:p>
    <w:p>
      <w:r>
        <w:t>Schengen-Visum</w:t>
      </w:r>
    </w:p>
    <w:p>
      <w:pPr>
        <w:pStyle w:val="Heading2"/>
      </w:pPr>
      <w:r>
        <w:t>Erwägungen</w:t>
      </w:r>
    </w:p>
    <w:p>
      <w:r>
        <w:rPr>
          <w:b/>
        </w:rPr>
        <w:t>E. 1.1</w:t>
      </w:r>
    </w:p>
    <w:p>
      <w:r>
        <w:t>Von der Vorinstanz erlassene Einspracheentscheide betreffend Schen- gen-Visa sind mit Beschwerde beim Bundesverwaltungsgericht anfechtbar (Art. 31 ff. VGG i.V.m. Art. 5 VwVG). Das Rechtsmittelverfahren richtet sich nach dem VwVG, soweit das VGG nichts anderes bestimmt (Art. 37 VGG).</w:t>
      </w:r>
    </w:p>
    <w:p>
      <w:r>
        <w:rPr>
          <w:b/>
        </w:rPr>
        <w:t>E. 1.2</w:t>
      </w:r>
    </w:p>
    <w:p>
      <w:r>
        <w:t>Die Beschwerdeführenden haben am vorangegangenen Einsprache- verfahren teilgenommen und sind durch den angefochtenen Entscheid be- sonders berührt. Sie sind zur Erhebung der Beschwerde legitimiert (Art. 48 Abs. 1 VwVG).</w:t>
      </w:r>
    </w:p>
    <w:p>
      <w:r>
        <w:rPr>
          <w:b/>
        </w:rPr>
        <w:t>E. 1.3</w:t>
      </w:r>
    </w:p>
    <w:p>
      <w:r>
        <w:t>Aufgrund der vorliegend behandelten Rechtsmitteleingabe ist auf ein fortbestehendes Rechtsschutzinteresse zu schliessen (Art. 48 Abs. 1 VwVG; vgl. bspw. Urteil des BVGer F-2086/2020 vom 17. Mai 2021 E. 1.3).</w:t>
      </w:r>
    </w:p>
    <w:p>
      <w:r>
        <w:rPr>
          <w:b/>
        </w:rPr>
        <w:t>E. 1.4</w:t>
      </w:r>
    </w:p>
    <w:p>
      <w:r>
        <w:t>Auf die frist- und formgerechte Beschwerde ist einzutreten (vgl. Art. 50 Abs. 1 und 52 Abs. 1 VwVG). In der vorliegenden Angelegenheit entschei- det das Bundesverwaltungsgericht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w:t>
      </w:r>
    </w:p>
    <w:p>
      <w:r>
        <w:rPr>
          <w:b/>
        </w:rPr>
        <w:t>E. 3</w:t>
      </w:r>
    </w:p>
    <w:p>
      <w:r>
        <w:t>Der angefochtenen Verfügung liegen die Gesuche syrischer Staatsange- höriger um Erteilung von Visa für einen Besuchsaufenthalt in der Schweiz zugrunde. Da sich letztere nicht auf die EU/EFTA-Personenfreizügigkeits- abkommen berufen können und die beabsichtigte Aufenthaltsdauer 90 Tage nicht überschreitet, fällt die Streitsache in den persönlichen und sachlichen Anwendungsbereich der Schengen-Assoziierungsabkommen, mit denen die Schweiz den Schengen-Besitzstand und die dazugehörigen gemeinschaftsrechtlichen Rechtsakte übernommen hat (BVGE 2014/1 E. 3). Das AIG (SR 142.20) und seine Ausführungsbestimmungen gelan- gen nur soweit zur Anwendung, als die Schengen-Assoziierungsabkom- men keine abweichenden Bestimmungen enthalten (Art. 2 Abs. 4 AIG).</w:t>
      </w:r>
    </w:p>
    <w:p>
      <w:r>
        <w:t>F-4396/2023 Seite 4</w:t>
      </w:r>
    </w:p>
    <w:p>
      <w:r>
        <w:rPr>
          <w:b/>
        </w:rPr>
        <w:t>E. 4.1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 setz über Ausländerinnen und Ausländer vom 8. März 2002, BBl 2002 3774; BGE 135 II 1 E. 1.1 m.H.). Das Schengen-Recht schränkt die natio- nalstaatlichen Befugnisse insoweit ein, als es einheitliche Voraussetzun- 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(vgl. Art. 6 Abs. 1 Bst. b der Verordnung [EG] Nr. 2016/399 des Europäischen Parlaments und des Ra- tes vom 9. März 2016 über einen Gemeinschaftskodex für das Überschrei- ten der Grenzen durch Personen [Kodifizierter Text] [Schengener Grenz- kodex, SGK, ABI. L 77/1 vom 23.03.2016]; Art. 6 Abs. 1 der Verordnung über die Einreise und die Visumserteilung vom 15. August 2018 [VEV, SR 142.204]; Art. 5 Abs. 1 Bst. a AIG). Ferner benötigen sie ein Visum, so- fern dieses erforderlich ist gemäss der Verordnung (EU) 2018/1806 des Europäischen Parlaments und des Rates vom 14. November 2018 zur Auf- stellung der Liste der Drittländer, deren Staatsangehörige beim Überschrei- ten der Aussengrenzen im Besitz eines Visums sein müssen, sowie der Liste der Drittländer, deren Staatsangehörige von dieser Visumpflicht be- freit sind (ABl. L 303/39 vom 28. November 2018). Als syrische Staatsangehörige unterliegen die Beschwerdeführenden un- bestrittenermassen der Visumspflicht (vgl. Art. 8 Abs. 1 VEV i.V.m. Anhang I Verordnung [EU] 2018/1806; Art. 6 Abs. 1 Bst. b SGK).</w:t>
      </w:r>
    </w:p>
    <w:p>
      <w:r>
        <w:rPr>
          <w:b/>
        </w:rPr>
        <w:t>E. 4.3</w:t>
      </w:r>
    </w:p>
    <w:p>
      <w:r>
        <w:t>Im Weiteren müssen Drittstaatsangehörige den Zweck und die Um- stände ihres beabsichtigten Aufenthalts belegen und hierfür über ausrei- chende finanzielle Mittel verfügen sowie nicht im Schengener Informations- system (SIS) zur Einreiseverweigerung ausgeschrieben sein und keine Gefahr für die öffentliche Ordnung und Gesundheit, die innere Sicherheit</w:t>
      </w:r>
    </w:p>
    <w:p>
      <w:r>
        <w:t>F-4396/2023 Seite 5 oder die internationalen Beziehungen eines Mitgliedstaats darstellen (vgl. Art. 3 Abs. 1 VEV i.V.m. Art. 6 Abs. 1 Bst. c ff. SGK; Art. 14 Abs. 1 und Art. 21 Abs. 1 der Verordnung [EG] Nr. 810/2009 des Europäischen Parla- ments und des Rates vom 13. Juli 2009 über einen Visakodex der Gemein- schaft [nachfolgend: Visakodex, VK, ABl. L 243 vom 15. September 2009]). Schliesslich müssen Drittstaatsangehörige für ihre fristgerechte Wieder- ausreise Gewähr bieten (Art. 5 Abs. 2 AIG). Wenn sie nicht bereit sind, das Hoheitsgebiet des Schengen-Raums fristgerecht wieder zu verlassen, ist eine Gefahr für die öffentliche Ordnung im Sinne von Art. 6 Abs. 1 Bst. e SGK anzunehmen (BVGE 2014/1 E. 4.3 m.H). Die Behörden haben daher die Gefahr einer nicht fristgerechten Ausreise zu prüfen (Art. 14 Abs. 1 Bst. d und Art. 21 Abs. 1 VK). Bestehen Zweifel daran, ist das Visum zu verweigern (Art. 32 Abs. 1 Bst. b VK). Bei der Beurteilung, ob die Voraus- setzungen für die Visumerteilung erfüllt sind, kommt den Behörden ein wei- ter Beurteilungsspielraum zu (BVGE 2014/1 E. 4.1.5).</w:t>
      </w:r>
    </w:p>
    <w:p>
      <w:r>
        <w:rPr>
          <w:b/>
        </w:rPr>
        <w:t>E. 4.4</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 staat unter anderem Gebrauch machen, wenn er es aus humanitären Gründen, aus solchen des nationalen Interesses oder aufgrund internatio- naler Verpflichtungen für erforderlich hält (vgl. Art. 3 Abs. 4 und 5 VEV; Art. 25 Abs. 1 Bst. a Visakodex; Art. 6 Abs. 5 Bst. c SGK).</w:t>
      </w:r>
    </w:p>
    <w:p>
      <w:r>
        <w:rPr>
          <w:b/>
        </w:rPr>
        <w:t>E. 5.1</w:t>
      </w:r>
    </w:p>
    <w:p>
      <w:r>
        <w:t>Bei der Beurteilung des Kriteriums der gesicherten Wiederausreise muss ein zukünftiges Verhalten beurteilt werden, weshalb darüber eine Prognose zu erstellen ist. Hierzu sind alle Umstände des Einzelfalles zu würdigen. Die Beweisführungslast obliegt den drittstaatsangehörigen Per- sonen (Art. 14 Abs. 1 Bst. d VK; Art. 14 Abs. 3 i.V.m. Anhang II VK; Art. 5 Abs. 1 Bst. c SGK; Art. 5 Abs. 2 AIG; BVGE 2014/1 E. 4.4 und E. 6.1). An- haltspunkte für die Gewähr einer fristgerechten Wiederausreise können sich zunächst aus der allgemeinen Situation im Herkunftsland der dritt- staatsangehörigen Personen ergeben. Namentlich bei Einreisegesuchen von Personen aus Staaten bzw. Regionen mit politisch, wirtschaftlich und sozial ungünstigen Verhältnissen rechtfertigt sich eine strengere Praxis, da die persönliche Interessenlage in solchen Fällen erfahrungsgemäss häufig nicht mit dem Ziel und Zweck einer zeitlich befristeten Einreisebewilligung im Einklang steht (BVGE 2014/1 E. 6.1 m.H.).</w:t>
      </w:r>
    </w:p>
    <w:p>
      <w:r>
        <w:t>F-4396/2023 Seite 6</w:t>
      </w:r>
    </w:p>
    <w:p>
      <w:r>
        <w:rPr>
          <w:b/>
        </w:rPr>
        <w:t>E. 5.2</w:t>
      </w:r>
    </w:p>
    <w:p>
      <w:r>
        <w:t>Das Herkunftsland der Gesuchstellenden befindet sich politisch und wirtschaftlich in einer äusserst schwierigen Lage. In weiten Teilen Syriens steht die Zivilbevölkerung aufgrund von bewaffneten Konflikten, die seit den Aufständen des «Arabischen Frühlings» im Jahr 2011 andauern, unter einem starken Auswanderungsdruck (vgl. Urteile des BVGer F-886/2023 vom 19. Februar 2024 E. 5.3 m.H.; F-1986/2022 vom 10. Januar 2023 E. 6.2). Viele sind in die Nachbarstaaten geflohen und versuchen, ihre Flucht insbesondere nach Europa fortzusetzen (vgl. Asylstatistik 2022 des SEM vom 13. Februar 2023, S. 3 und 14 ff., &lt; stat-jahr-2022-kommentar (1).pdf &gt;, abgerufen am 6.06.2023). Die Einschätzung der allgemeinen Si- tuation in Syrien durch die Vorinstanz ist somit nicht zu beanstanden.</w:t>
      </w:r>
    </w:p>
    <w:p>
      <w:r>
        <w:rPr>
          <w:b/>
        </w:rPr>
        <w:t>E. 5.3</w:t>
      </w:r>
    </w:p>
    <w:p>
      <w:r>
        <w:t>Allein aufgrund der Situation im Heimatstaat darf nicht auf eine unzu- reichend gesicherte Wiederausreise geschlossen werden. Bei der Risiko- analyse sind sämtliche Gesichtspunkte des konkreten Einzelfalles zu be- rücksichtigen. Obliegt einer gesuchstellenden Person im Heimatland bei- spielsweise eine besondere berufliche, gesellschaftliche oder familiäre Verantwortung, kann dies die Prognose für eine anstandslose Wiederaus- reise begünstigen (BVGE 2014/1 E. 6.3.1 m.H). Von einer besonders star- ken sozio-ökonomischen Einbettung der Gesuchstellenden in Syrien, die sie von einer Emigration abhalten könnte, kann vorliegend jedoch nicht ausgegangen werden. Konkrete Hinweise auf etwaige soziale oder famili- äre Verpflichtungen der Beschwerdeführenden in Syrien sind den Akten nicht zu entnehmen. Mit Hinweis auf ihre Mitwirkungspflicht ist das Fehlen entsprechender Angaben ihnen anzulasten (vgl. Art. 14 Abs. 1 Bst. d VK; Art. 14 Abs. 3 i.V.m. Anhang II VK; Art. 5 Abs. 1 Bst. c SGK; Art. 5 Abs. 2 AIG; BVGE 2014/1 E. 4.4 und E. 6.1). In Bezug auf ihre beruflichen Ver- pflichtungen führen die Beschwerdeführenden aus, in Syrien im eigenen Familienbetrieb tätig zu sein (vgl. SEM-act. ZEMIS 22254089, S. 25 f; SEM-act. ZEMIS 22254099, S. 36; SEM-act. ZEMIS 22254104, S. 30). Der gastgebende Sohn hingegen bezeichnet seinen Vater und seine Mutter (Beschwerdeführende 1 und 2) auf widersprüchliche Weise als pensioniert respektive als Hausfrau (vgl. SEM-act. ZEMIS 22254099, S. 30 f.). Zuguns- ten einer Wiederausreise der Beschwerdeführenden spricht vorliegend ein- zig der Immobilienbesitz des Beschwerdeführenden 1 (vgl. SEM-act. ZEMIS 222540999, S. 25 f.). Dieser Umstand allein kann aber keine hin- reichende Gewähr für ihre Wiederausreise bieten, zumal ihr dortiger Besitz trotz Ausreise veräussert werden könnte.</w:t>
      </w:r>
    </w:p>
    <w:p>
      <w:r>
        <w:rPr>
          <w:b/>
        </w:rPr>
        <w:t>E. 5.4</w:t>
      </w:r>
    </w:p>
    <w:p>
      <w:r>
        <w:t>Andererseits lebt in der Schweiz ihr gastgebender Sohn sowie ein wei- teres Familienmitglied (vgl. SEM-act. ZEMIS 22254089, S. 59 ff.). Bei einer</w:t>
      </w:r>
    </w:p>
    <w:p>
      <w:r>
        <w:t>F-4396/2023 Seite 7 Einreise in die Schweiz wären die Beschwerdeführenden durch den Zu- sammenschluss mit ihrem Sohn respektive Bruder hierzulande vereinigt (vgl. SEM-act. ZEMIS 22254089, S. 32 ff.). Angesichts der obigen Ausfüh- rungen, wonach die Beschwerdeführenden in Syrien keine bedeutenden sozio-ökonomischen Verpflichtungen haben, erwachsen dadurch Zweifel an ihrer anstandslosen Ausreise. In Bezug auf die finanziellen Zusicherun- gen des gastgebenden Sohns und seines Cousins (vgl. (vgl. SEM-act. ZEMIS 22254089, S. 61 ff.) ist anzumerken, dass diese zwar mit rechtlich verbindlicher Wirkung für gewisse finanzielle Risiken Garantie leisten kön- nen, mangels rechtlicher und faktischer Durchsetzbarkeit aber nicht für ein bestimmtes Tun oder Unterlassen ihrer Gäste einstehen können (vgl. BVGE 2014/1 E. 6.3.7; 2009/27 E. 9).</w:t>
      </w:r>
    </w:p>
    <w:p>
      <w:r>
        <w:rPr>
          <w:b/>
        </w:rPr>
        <w:t>E. 5.5</w:t>
      </w:r>
    </w:p>
    <w:p>
      <w:r>
        <w:t>Auf Beschwerdeebene machen die Beschwerdeführenden schliesslich geltend, sie seien im Norden Syriens wohnhaft gewesen und sie seien we- gen der dort im Februar 2023 ereigneten Erdbeben nach Damaskus umge- zogen (vgl. BVGer-act. 1, S. 4 sowie act. 7). Dazu reichten sie keine Be- weismittel ein und eine Wohnsitznahme der Beschwerdeführenden im Nor- den Syriens ist auch nicht den Akten zu entnehmen. Aktenkundig ist ledig- lich ein Verkaufsvertrag vom 20. September 2020, der die Übertragung ei- ner Liegenschaft des gastgebenden Sohns and den Beschwerdeführer 1 in der Region von Damaskus betrifft und wonach der Beschwerdeführer 1 zu diesem Zeitpunkt in Damaskus wohnhaft war (vgl. SEM-act. ZEMIS 222540999, S. 25 f.). Auch wenn nicht abschliessend beurteilt werden kann, ob die Beschwerdeführenden im Nachgang des Erdbebens nach Da- maskus umgezogen sind, entsteht diesbezüglich – zufolge ihrer vage ge- bliebenen Aussagen – der Eindruck, dass sie ihre tatsächliche Situation nicht vollständig transparent dargelegt haben. Dies bestärkt die ohnehin schon bestehenden Zweifel an ihrer fristgerechten Ausreise. Abgesehen davon können die Beschwerdeführenden aus dem Umstand, dass die Schweiz Visumsgesuche von Opfern der erwähnten Erdbeben prioritär be- handelte, vom Zeitpunkt ihres Gesuchs am 15. Mai 2023 ausgehend nichts zu ihren Gunsten ableiten. Dabei handelte es sich nämlich um eine zwi- schen dem 14. Februar 2023 und dem 12. Mai 2023 begrenzte Mass- nahme (vgl. Medienmitteilung des SEM vom 2. Mai 2023, &lt; https://www.sem.admin.ch/sem/de/home/sem/medien/mm.msg-id- 94733.html &gt;, abgerufen am 05.06.2024). Schliesslich wies die Vorinstanz in ihrer Vernehmlassung vom 27. Oktober 2023 zu Recht darauf hin, dass auch in den sogenannten «Fast-Track-Verfahren» die ordentlichen Schen- gen-rechtlichen Einreisebestimmungen galten.</w:t>
      </w:r>
    </w:p>
    <w:p>
      <w:r>
        <w:t>F-4396/2023 Seite 8</w:t>
      </w:r>
    </w:p>
    <w:p>
      <w:r>
        <w:rPr>
          <w:b/>
        </w:rPr>
        <w:t>E. 6</w:t>
      </w:r>
    </w:p>
    <w:p>
      <w:r>
        <w:t>Auch sind keine humanitären Gründe, nationalen Interessen oder interna- tionalen Verpflichtungen ersichtlich, die die Ausstellung eines Visums mit räumlich beschränkter Gültigkeit gebieten würden (vgl. Art. 5 Abs. 3 AIG; Art. 3 Abs. 4 VEV; Art. 25 Abs. 1 Bst. a VK; Art. 6 Abs. 5 Bst. c SGK).</w:t>
      </w:r>
    </w:p>
    <w:p>
      <w:r>
        <w:rPr>
          <w:b/>
        </w:rPr>
        <w:t>E. 7</w:t>
      </w:r>
    </w:p>
    <w:p>
      <w:r>
        <w:t>Die angefochtene Verfügung erweist sich unter Berücksichtigung der allge- meinen Situation im Herkunftsland und der persönlichen Hintergründe der Gesuchstellenden im Lichte von Art. 49 VwVG als rechtmässig.</w:t>
      </w:r>
    </w:p>
    <w:p>
      <w:r>
        <w:rPr>
          <w:b/>
        </w:rPr>
        <w:t>E. 8</w:t>
      </w:r>
    </w:p>
    <w:p>
      <w:r>
        <w:t>Bei diesem Ausgang des Verfahrens wären die Kosten den Beschwerde- führenden aufzuerlegen (vgl. Art. 63 Abs. 1 VwVG i.V.m. Art. 1 ff. des Reg- lements vom 21. Februar 2008 über die Kosten und Entschädigungen vor dem Bundesverwaltungsgericht [VGKE, SR 173.320.2]). Mit Zwischenver- fügung vom 29. September 2023 wurde ihnen jedoch die unentgeltliche Prozessführung gewährt. Eine Parteientschädigung fällt ausgangsgemäss ausser Betracht (Art. 64 Abs. 1 VwVG). (Dispositiv nächste Seite)</w:t>
      </w:r>
    </w:p>
    <w:p>
      <w:r>
        <w:t>F-4396/2023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