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F-4392/2022 vom 10. Oktober 2022</w:t>
      </w:r>
    </w:p>
    <w:p>
      <w:r>
        <w:t>Bundesverwaltungsgericht, 2022-10-10, FR</w:t>
      </w:r>
    </w:p>
    <w:p>
      <w:r>
        <w:rPr>
          <w:b/>
        </w:rPr>
        <w:t xml:space="preserve">Quelle: </w:t>
      </w:r>
      <w:r>
        <w:t>https://mcp.opencaselaw.ch/entscheid/bvger_F-4392_2022</w:t>
      </w:r>
    </w:p>
    <w:p>
      <w:r>
        <w:t>FR: TAF F-4392/2022 du 10 octobre 2022</w:t>
      </w:r>
    </w:p>
    <w:p>
      <w:r>
        <w:t>IT: TAF F-4392/2022 del 10 ottobre 2022</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33 let. d LTAF, applicable par renvoi de l'art. 105 LAsi, et art. 83 let. d ch. 1 LTF). Par ailleurs, le recours a été présenté dans la forme (cf. art. 52 al. 1 PA) et le délai (cf. art. 108 al. 3 LAsi) prescrits par la loi, de sorte qu'il est recevable.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2009/54 consid. 1.3.3; 2007/8 consid. 5).</w:t>
      </w:r>
    </w:p>
    <w:p>
      <w:r>
        <w:rPr>
          <w:b/>
        </w:rPr>
        <w:t>E. 2.1</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Dublin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w:t>
      </w:r>
    </w:p>
    <w:p>
      <w:r>
        <w:rPr>
          <w:b/>
        </w:rPr>
        <w:t>E. 2.2</w:t>
      </w:r>
    </w:p>
    <w:p>
      <w:r>
        <w:t>Dans une procédure de prise en charge (anglais : take charge), comme en l'espèce, les critères énumérés au chapitre III du règlement Dublin (art. 8 à 15 RD III) doivent être appliqués successivement (principe de l'application hiérarchique des critères de compétence posé par l'art. 7 par. 1 RD III, sur ces questions, cf. ATAF 2017 VI/7 consid. 2.1). Pour ce faire, il y a lieu de se baser sur la situation existant au moment du dépôt de la première demande dans un Etat membre (art. 7 par. 2 RD III). Selon l'art. 13 RD III, lorsqu'il est établi que le demandeur a franchi irrégulièrement, par voie terrestre, maritime ou aérienne, la frontière d'un Etat membre dans lequel il est entré en venant d'un Etat tiers, cet Etat membre est responsable de l'examen de la demande de protection internationale.</w:t>
      </w:r>
    </w:p>
    <w:p>
      <w:r>
        <w:rPr>
          <w:b/>
        </w:rPr>
        <w:t>E. 2.3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w:t>
      </w:r>
    </w:p>
    <w:p>
      <w:r>
        <w:rPr>
          <w:b/>
        </w:rPr>
        <w:t>E. 3</w:t>
      </w:r>
    </w:p>
    <w:p>
      <w:r>
        <w:t>En l'espèce, les investigations entreprises par le SEM ont révélé que l'intéressé avait franchi irrégulièrement la frontière du territoire des Etats Dublin le (...) mai 2022 en Italie. L'Italie n'ayant pas réagi à la demande de prise en charge des autorités suisses déposée dans les délais, la compétence pour traiter la demande d'asile du recourant est passée en principe à cet Etat selon les règles de compétence établies dans le règlement Dublin. Ces éléments ne sont d'ailleurs pas contestés par le recourant dans son recours.</w:t>
      </w:r>
    </w:p>
    <w:p>
      <w:r>
        <w:rPr>
          <w:b/>
        </w:rPr>
        <w:t>E. 4.1</w:t>
      </w:r>
    </w:p>
    <w:p>
      <w:r>
        <w:t>Le recourant s'est opposé à son transfert vers l'Italie en faisant valoir, d'une part, que son passage dans ce pays avait été traumatisant, notamment au vu du comportement insultant et humiliant de la police, et, d'autre part, qu'il n'avait pas pu y bénéficier d'une prise en charge médicale adéquate, en particulier pour ses problèmes rénaux, d'allergies et de nature psychologique.</w:t>
      </w:r>
    </w:p>
    <w:p>
      <w:r>
        <w:rPr>
          <w:b/>
        </w:rPr>
        <w:t>E. 4.2</w:t>
      </w:r>
    </w:p>
    <w:p>
      <w:r>
        <w:t>Dans la mesure où, par ces allégations, le recourant se prévaut de la présence de défaillances systémiques en Italie dans le sens de l'art. 3 par. 2 RD III, il ne saurait être suivi. En effet, le Tribunal rappelle que l'Italie est liée à la Charte UE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Cela étant, le Tribunal a récemment confirmé une jurisprudence constante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parmi d'autres, arrêts du TAF D-4235/2021 du 19 avril 2022 consid. 10 et F-6330/2020 du 18 octobre 2021 consid. 9). S'agissant des conditions générales de l'accueil des requérants d'asile en Italie, il convient par ailleurs de relever que le Décret-loi n° 130/2020, entré en vigueur le 20 décembre 2020 améliore leurs conditions de vie. Le recourant ne faisant valoir aucun élément suffisamment pertinent pour remettre en question la jurisprudence susmentionnée, le Tribunal ne saurait conclure à la présence de défaillances systémiques en Italie. En outre, comme le relève à juste titre le SEM dans l'acte entrepris, il n'a fourni aucun élément qui permettrait de renverser la présomption de sécurité dans le cas d'espèce (cf. également consid. 4.3 s ci-après).</w:t>
      </w:r>
    </w:p>
    <w:p>
      <w:r>
        <w:rPr>
          <w:b/>
        </w:rPr>
        <w:t>E. 4.3</w:t>
      </w:r>
    </w:p>
    <w:p>
      <w:r>
        <w:t>Selon la jurisprudence de la CourEDH (cf. arrêt Paposhvili c. Belgique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4.4</w:t>
      </w:r>
    </w:p>
    <w:p>
      <w:r>
        <w:t>En l'espèce, le recourant reproche au SEM de ne pas avoir instruit son état médical plus en avant. En effet, il n'aurait pas eu accès à un psychologue et aucune suite n'aurait été donnée à ses plaintes d'ordre médical. Quatre journaux de soins ont été versés au dossier de la cause (pcs N 14 et 20 à 22). Il en ressort que le recourant s'est plaint d'une infection urinaire et de douleurs rénales. Pour cela, il a fait l'objet d'un examen médical, lequel s'est avéré négatif, de sorte qu'aucun traitement ne lui a été prescrit, hormis des antidouleurs en cas de besoin. Force est ainsi de constater que, contrairement à ce qu'a prétendu le recourant, un examen a fait suite à ses maux de reins. En outre, l'intéressé s'est plaint de démangeaisons, notamment aux parties intimes. Cela étant, sur instruction du SEM, l'hôpital vers lequel il a été redirigé, a répondu que l'intéressé ne serait jamais venu en consultation (cf. pce N 25). Enfin, sur le plan psychique, le recourant s'est principalement plaint de cauchemars (réveils en sueurs, cris), d'insomnies, d'anxiété et de troubles de la concentration. Il n'aurait pas d'idées suicidaires (pce N 14). Il aurait reçu des comprimés contre les états de tension nerveuse (valverde forte à prendre une fois et du valverde à prendre trois fois par jour) ainsi que du dafalgan contre les céphalées (pce N 14). A la mi-juin 2022 un rendez-vous auprès d'un psychologue aurait été demandé (pce N 14). Aucune pièce au dossier n'indique cependant la suite donnée à cette demande et le recourant ne l'explique pas. Dans son recours, il se borne à affirmer qu'il n'aurait pas eu accès à un psychologue. Cela dit, aucune pièce au dossier ne vient étayer les refus à ses prétendues demandes de consultation. Quoiqu'il en soit, on ne saurait constater au vu de ce qui précède que les souffrances d'ordre médical du recourant sont à ce point graves ou complexes qu'elles nécessiteraient une prise en charge immédiate et particulière qui ferait opposition à son transfert en Italie, ni d'ailleurs que l'intéressé ne serait pas en mesure de voyager. Dans ces conditions, il n'y a pas lieu de retenir que les conditions très restrictives posées par la jurisprudence à l'application de l'art. 3 CEDH sont réalisées dans le cas particulier. Aussi, force est de constater que le SEM n'a pas failli à son devoir d'instruction. A toutes fins utiles, le Tribunal rappelle que l'Italie est lié par la directive Accueil et dispose de structures médicales similaires à celles existant en Suisse (cf. notamment arrêts du TAF F-3303/2022 du 24 août 2022 consid. 6.4.3 et réf citées et D-5522/2018 du 5 octobre 2018).</w:t>
      </w:r>
    </w:p>
    <w:p>
      <w:r>
        <w:rPr>
          <w:b/>
        </w:rPr>
        <w:t>E. 4.5</w:t>
      </w:r>
    </w:p>
    <w:p>
      <w:r>
        <w:t>Finalement, comme le relève à juste titre le SEM, le règlement Dublin III ne confère au demeurant pas aux demandeurs d'asile le droit de choisir l'Etat membre offrant, à leur avis, les meilleures conditions d'accueil comme Etat responsable de l'examen de leur demande d'asile (ATAF 2010/45 consid. 8.3). Il appartiendra en définitive au SEM de renseigner les autorités italiennes sur l'état de santé de l'intéressé avant le transfert conformément aux art. 31 et 32 du règlement Dublin III.</w:t>
      </w:r>
    </w:p>
    <w:p>
      <w:r>
        <w:rPr>
          <w:b/>
        </w:rPr>
        <w:t>E. 4.6</w:t>
      </w:r>
    </w:p>
    <w:p>
      <w:r>
        <w:t>En conséquence, vu l'ensemble des éléments qui précèdent, le transfert du recourant vers l'Italie n'apparaît pas contraire aux obligations de la Suisse découlant du droit international.</w:t>
      </w:r>
    </w:p>
    <w:p>
      <w:r>
        <w:rPr>
          <w:b/>
        </w:rPr>
        <w:t>E. 5</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consid. 2.4 in fine supra). C'est donc à juste titre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6</w:t>
      </w:r>
    </w:p>
    <w:p>
      <w:r>
        <w:t>Se révélant manifestement infondé, le présent recours est rejeté dans une procédure à juge unique, avec l'approbation d'un second juge (art. 111 let. e LAsi) et il est par ailleurs renoncé à un échange d'écritures (art. 111a al. 1 LAsi).</w:t>
      </w:r>
    </w:p>
    <w:p>
      <w:r>
        <w:rPr>
          <w:b/>
        </w:rPr>
        <w:t>E. 7</w:t>
      </w:r>
    </w:p>
    <w:p>
      <w:r>
        <w:t>Les conclusions du recours étant d'emblée vouées à l'échec, la requête d'assistance judiciaire totale contenue dans le mémoire de recours est rejetée. La demande d'exemption du versement de l'avance de frais est devenue sans objet. Cela étant,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