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F-4372/2025 vom 8. Juli 2025</w:t>
      </w:r>
    </w:p>
    <w:p>
      <w:r>
        <w:t>Bundesverwaltungsgericht, 2025-07-08, DE</w:t>
      </w:r>
    </w:p>
    <w:p>
      <w:r>
        <w:rPr>
          <w:b/>
        </w:rPr>
        <w:t xml:space="preserve">Quelle: </w:t>
      </w:r>
      <w:r>
        <w:t>https://mcp.opencaselaw.ch/entscheid/bvger_F-4372_2025</w:t>
      </w:r>
    </w:p>
    <w:p>
      <w:r>
        <w:t>FR: TAF F-4372/2025 du 8 juillet 2025</w:t>
      </w:r>
    </w:p>
    <w:p>
      <w:r>
        <w:t>IT: TAF F-4372/2025 del 8 luglio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t>F-4372/2025 Seite 3</w:t>
      </w:r>
    </w:p>
    <w:p>
      <w:r>
        <w:rPr>
          <w:b/>
        </w:rPr>
        <w:t>E. 2</w:t>
      </w:r>
    </w:p>
    <w:p>
      <w:r>
        <w:t>Mai 2025 E. 3).</w:t>
      </w:r>
    </w:p>
    <w:p>
      <w:r>
        <w:rPr>
          <w:b/>
        </w:rPr>
        <w:t>E. 2.1</w:t>
      </w:r>
    </w:p>
    <w:p>
      <w:r>
        <w:t>Eine Kantonszuweisung kann nur mit der Begründung angefochten werden, sie verletze den Grundsatz der Einheit der Familie (BVGE 2009/54 E. 1.3.1). Diese Kognitionsbeschränkung ist nicht auf Flüchtlinge anwend- bar. Diese können eine Verletzung von Art. 26 des Abkommens vom 28. Juli 1951 über die Rechtsstellung der Flüchtlinge (FK, SR 0.142.30) und von Art. 37 AIG (SR 142.20), welche den Wechsel des Wohnorts in einen anderen Kanton für ausländische Personen regelt, vor Bundesver- 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Umfange, wie er einer niedergelassenen Person ge- stützt auf Art. 37 Abs. 3 AIG zusteht (vgl. BVGE 2012/2 E. 5.2.2; zuletzt Urteile des BVGer F-2933/2025 vom 7. Mai 2025 E. 2.4; F-2642/2025 vom</w:t>
      </w:r>
    </w:p>
    <w:p>
      <w:r>
        <w:rPr>
          <w:b/>
        </w:rPr>
        <w:t>E. 2.3</w:t>
      </w:r>
    </w:p>
    <w:p>
      <w:r>
        <w:t>Nachdem ihr die Vorinstanz am 10. Juni 2025 die Flüchtlingseigen- schaft zuerkannte, hat die Beschwerdeführerin grundsätzlich Anspruch auf Wahl ihres Aufenthaltsorts und Zuweisung in den von ihr anbegehrten</w:t>
      </w:r>
    </w:p>
    <w:p>
      <w:r>
        <w:t>F-4372/2025 Seite 4 Kanton. Vorbehalten bleibt das Vorliegen von Widerrufsgründen nach Art. 63 AIG (vgl. Art. 37 Abs. 3 AIG i.V.m. Art. 58 AsylG, Art. 6 FK und Art. 26 FK; E. 2.2 hiervor; ferner: Urteil des BVGer F-724/2020 vom 30. September 2024 E. 4.3). Die Vorinstanz hat sich in der angefochtenen Verfügung mit der Rechtsstellung der Beschwerdeführerin als Flüchtling und ihrem Anspruch auf Zuweisung in den anbegehrten Kanton nicht aus- einandergesetzt. Ausserdem hat sie nicht geprüft, ob einer Zuweisung der Beschwerdeführerin in den Kanton Zürich Widerrufsgründe im Sinne von Art. 63 AIG entgegenstehen könnten. Insoweit erweist sich der Sachverhalt als unvollständig abgeklärt und der Untersuchungsgrundsatz ist verletzt (Art. 6 AsylG i.V.m. Art. 12 VwVG; Art. 49 Bst. b VwVG; siehe auch Urteile des BVGer F-2933/2025 vom 7. Mai 2025 E. 2.5 m.w.H.; F-2642/2025 vom</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weshalb die Sache an die Vorinstanz zurückzuweisen ist.</w:t>
      </w:r>
    </w:p>
    <w:p>
      <w:r>
        <w:rPr>
          <w:b/>
        </w:rPr>
        <w:t>E. 3</w:t>
      </w:r>
    </w:p>
    <w:p>
      <w:r>
        <w:t>Die Beschwerde ist gutzuheissen. Dispositiv-Ziffer 1 (recte: 3) der ange- fochtenen Verfügung ist aufzuheben und die Sache zur vollständigen und richtigen Sachverhaltsabklärung im Sinne der Erwägungen sowie zur neuen Entscheidung an die Vorinstanz zurückzuweisen. Diese wird insbe- sondere abzuklären haben, ob einer Zuweisung der Beschwerdeführerin in den Kanton Zürich Widerrufsgründe im Sinne von Art. 63 AIG entgegenste- hen. Erforderlichenfalls wird sie den betroffenen Aufenthalts- und Zuzu- gskanton zu einer Stellungnahme betreffend Widerrufsgründe auffordern (vgl. auch SEM, Handbuch Asyl und Rückkehr, Artikel F6, Die Gesuche um Kantonswechsel, Ziff. 2.3.4, S. 10 f.).</w:t>
      </w:r>
    </w:p>
    <w:p>
      <w:r>
        <w:rPr>
          <w:b/>
        </w:rPr>
        <w:t>E. 4.1</w:t>
      </w:r>
    </w:p>
    <w:p>
      <w:r>
        <w:t>Entsprechend dem Verfahrensausgang sind keine Kosten zu erheben (Art. 63 Abs. 1 und 2 VwVG). Das Gesuch um Gewährung der unentgeltli- chen Prozessführung (Art. 65 Abs. 1 VwVG) ist gegenstandslos geworden.</w:t>
      </w:r>
    </w:p>
    <w:p>
      <w:r>
        <w:t>F-4372/2025 Seite 5</w:t>
      </w:r>
    </w:p>
    <w:p>
      <w:r>
        <w:rPr>
          <w:b/>
        </w:rPr>
        <w:t>E. 4.2</w:t>
      </w:r>
    </w:p>
    <w:p>
      <w:r>
        <w:t>Eine Parteientschädigung ist der Beschwerdeführerin trotz ihres Obsie- gens nicht auszurichten, da es sich vorliegend um eine zugewiesene un- entgeltliche Rechtsvertretung im Sinne von Art. 102h AsylG handelt, deren Leistungen vom Bund nach Massgabe von Art. 102k AsylG entschädigt werden (vgl. auch Art. 111ater AsylG). Der entsprechende Antrag ist abzu- weisen.</w:t>
      </w:r>
    </w:p>
    <w:p>
      <w:r>
        <w:rPr>
          <w:b/>
        </w:rPr>
        <w:t>E. 5</w:t>
      </w:r>
    </w:p>
    <w:p>
      <w:r>
        <w:t>Dieses Urteil ist endgültig (Art. 83 Bst. d Ziff. 1 BGG; vgl. Urteil des BGer 2C_610/2024 vom 4. Dezember 2024 E. 2 f.).</w:t>
      </w:r>
    </w:p>
    <w:p>
      <w:r>
        <w:t>(Dispositiv: nachfolgende Seite)</w:t>
      </w:r>
    </w:p>
    <w:p>
      <w:r>
        <w:t>F-4372/2025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