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F-4365/2023 vom 15. August 2023</w:t>
      </w:r>
    </w:p>
    <w:p>
      <w:r>
        <w:t>Bundesverwaltungsgericht, 2023-08-15, DE</w:t>
      </w:r>
    </w:p>
    <w:p>
      <w:r>
        <w:rPr>
          <w:b/>
        </w:rPr>
        <w:t xml:space="preserve">Quelle: </w:t>
      </w:r>
      <w:r>
        <w:t>https://mcp.opencaselaw.ch/entscheid/bvger_F-4365_2023</w:t>
      </w:r>
    </w:p>
    <w:p>
      <w:r>
        <w:t>FR: TAF F-4365/2023 du 15 août 2023</w:t>
      </w:r>
    </w:p>
    <w:p>
      <w:r>
        <w:t>IT: TAF F-4365/2023 del 15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3.3</w:t>
      </w:r>
    </w:p>
    <w:p>
      <w:r>
        <w:t>Hat ein Antragsteller aus einem Drittstaat kommend die Land-, See- oder Luftgrenze eines Mitgliedstaats illegal überschritten, so ist dieser Mitgliedstaat für die Prüfung des Antrags auf internationalen Schutz zuständig. Die Zuständigkeit endet zwölf Monate nach dem Tag des illegalen Grenzübertritts (vgl. Art. 13 Abs. 1 Dublin-III-VO).</w:t>
      </w:r>
    </w:p>
    <w:p>
      <w:r>
        <w:rPr>
          <w:b/>
        </w:rPr>
        <w:t>E. 3.4</w:t>
      </w:r>
    </w:p>
    <w:p>
      <w:r>
        <w:t>Ein Abgleich der Fingerabdrücke des Beschwerdeführers ergab, dass dieser am 28. Dezember 2022 in Spanien daktyloskopisch erfasst worden war. Die spanischen Behörden hiessen das Gesuch des SEM vom 17. Juli 2023 um Übernahme des Beschwerdeführers am 31. Juli 2023 gestützt auf Art. 13 Abs. 1 Dublin-III-VO gut. Die Zuständigkeit Spaniens zur Durchführung des Asyl- und Wegweisungsverfahrens ist somit grundsätzlich gegeben.</w:t>
      </w:r>
    </w:p>
    <w:p>
      <w:r>
        <w:rPr>
          <w:b/>
        </w:rPr>
        <w:t>E. 4</w:t>
      </w:r>
    </w:p>
    <w:p>
      <w:r>
        <w:t>Der Beschwerdeführer bringt zu Recht nicht vor, dass in Spanien systemische Schwachstellen i.S.v. Art. 3 Abs. 2 zweiter und dritter Satz Dublin-III-VO, die eine Gefahr einer unmenschlichen Behandlung im Sinne von Art. 4 der EU-Grundrechtecharta und Art. 3 EMRK mit sich bringen würden, vorlägen (vgl. Urteil des BVGer F-21/2022 vom 6. Januar 2022 E. 5.2).</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Der Beschwerdeführer bringt vor, er habe in Spanien weder Unterstützung noch ein Asylverfahren erhalten. Er sei der Kälte ausgesetzt und obdachlos gewesen und habe nichts zu essen bekommen. Die Menschenrechte seien in Spanien «nicht das Papier wert, auf dem sie geschrieben [seien]».</w:t>
      </w:r>
    </w:p>
    <w:p>
      <w:r>
        <w:rPr>
          <w:b/>
        </w:rPr>
        <w:t>E. 5.3</w:t>
      </w:r>
    </w:p>
    <w:p>
      <w:r>
        <w:t>Der Beschwerdeführer hat kein konkretes und ernsthaftes Risiko dargetan, die spanischen Behörden würden in seinem Fall ihren völkerrechtlichen Verpflichtungen nicht nachkommen. Es steht ihm nach Ankunft in Spanien die Möglichkeit offen, ein Asylgesuch einzureichen und seine Fluchtgründe sowie allfällige Wegweisungsvollzugshindernisse bei den spanischen Behörden geltend zu machen. Es bestehen keine Gründe für die Annahme, Spanien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 nach Einreichung des Asylgesuchs - zustehenden Aufnahmebedingungen könnte er sich im Übrigen nötigenfalls an die spanischen Behörden wenden und seine Ansprüche auf dem Rechtsweg einfordern (vgl. Art. 26 der Richtlinie 2013/33/EU des Europäischen Parlaments und des Rates vom 26. Juni 2013 zur Festlegung von Normen für die Aufnahme von Personen, die internationalen Schutz beantragen [Neufassung], ABl. L 180/96 vom 29.6.2013 [Aufnahmerichtlinie]).</w:t>
      </w:r>
    </w:p>
    <w:p>
      <w:r>
        <w:rPr>
          <w:b/>
        </w:rPr>
        <w:t>E. 5.4</w:t>
      </w:r>
    </w:p>
    <w:p>
      <w:r>
        <w:t>Des Weiteren liegen keine Anhaltspunkte vor, wonach die Gesundheit des Beschwerdeführers bei einer Überstellung nach Spanien ernsthaft gefährdet würde. Gemäss ärztlicher Befragung vom 11. Juli 2023 wurden ihm pflanzliche Beruhigungs- und Schlafmittel verschrieben - in Frankreich hatte er gemäss eigenen Angaben zur Beruhigung Pregabalin konsumiert. Anlässlich der Anhörung vom 17. Juli 2023 gab er zudem an, ihm gehe es gut. Eine Verletzung von Art. 3 EMRK ist somit im Fall des 26-jährigen, gesunden Beschwerdeführers nicht zu befürchten. Der Vollständigkeit halber ist einzig festzuhalten, dass - sollte er nach der Rückkehr nach Spanien tatsächlich eine medizinische Behandlung benötigen -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5.5</w:t>
      </w:r>
    </w:p>
    <w:p>
      <w:r>
        <w:t>Schliesslich ist nicht ersichtlich, inwiefern ein Selbsteintritt der Schweiz aus humanitären Gründen angezeigt wäre. Die Vorinstanz hat ihr Ermessen korrekt ausgeübt.</w:t>
      </w:r>
    </w:p>
    <w:p>
      <w:r>
        <w:rPr>
          <w:b/>
        </w:rPr>
        <w:t>E. 5.6</w:t>
      </w:r>
    </w:p>
    <w:p>
      <w:r>
        <w:t>Die Vorinstanz hat somit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6</w:t>
      </w:r>
    </w:p>
    <w:p>
      <w:r>
        <w:t>Die Vorinstanz ist demnach zu Recht auf das Asylgesuch des Beschwerdeführers nicht eingetreten und hat die Wegweisung nach Spanien angeordnet.</w:t>
      </w:r>
    </w:p>
    <w:p>
      <w:r>
        <w:rPr>
          <w:b/>
        </w:rPr>
        <w:t>E. 7</w:t>
      </w:r>
    </w:p>
    <w:p>
      <w:r>
        <w:t>Nach dem Gesagten ist die Beschwerde abzuweisen. Mit dem vorliegenden Urteil fällt der am 11. August 2023 angeordnete Vollzugsstopp dahin. Das Gesuch um Erteilung der aufschiebenden Wirkung ist gegenstandslos geworden.</w:t>
      </w:r>
    </w:p>
    <w:p>
      <w:r>
        <w:rPr>
          <w:b/>
        </w:rPr>
        <w:t>E. 8.1</w:t>
      </w:r>
    </w:p>
    <w:p>
      <w:r>
        <w:t>Die gestellten Begehren erweisen sich als aussichtslos, weshalb das Gesuch um Gewährung der unentgeltlichen Prozessführung ungeachtet einer allfälligen prozessualen Bedürftigkeit abzuweisen ist (Art. 65 Abs. 1 VwVG).</w:t>
      </w:r>
    </w:p>
    <w:p>
      <w:r>
        <w:rPr>
          <w:b/>
        </w:rPr>
        <w:t>E. 8.2</w:t>
      </w:r>
    </w:p>
    <w:p>
      <w:r>
        <w:t>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