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F-4363/2020 vom 4. September 2020</w:t>
      </w:r>
    </w:p>
    <w:p>
      <w:r>
        <w:t>Bundesverwaltungsgericht, 2020-09-04, DE</w:t>
      </w:r>
    </w:p>
    <w:p>
      <w:r>
        <w:rPr>
          <w:b/>
        </w:rPr>
        <w:t xml:space="preserve">Quelle: </w:t>
      </w:r>
      <w:r>
        <w:t>https://mcp.opencaselaw.ch/entscheid/bvger_F-4363_2020</w:t>
      </w:r>
    </w:p>
    <w:p>
      <w:r>
        <w:t>FR: TAF F-4363/2020 du 4 septembre 2020</w:t>
      </w:r>
    </w:p>
    <w:p>
      <w:r>
        <w:t>IT: TAF F-4363/2020 del 4 settembre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23 -25 Dublin-III-VO) findet grundsätzlich keine (neue) Zuständigkeitsprüfung nach Kapitel III Dublin-III-VO mehr statt (vgl. zum Ganzen BVGE 2017 VI/5 E. 6.2 und 8.2.1).</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3.4</w:t>
      </w:r>
    </w:p>
    <w:p>
      <w:r>
        <w:t>Der Beschwerdeführer bestreitet nicht, in Rumänien ein Asylgesuch gestellt zu haben. Die rumänischen Behörden hiessen das Gesuch der Vorinstanz um Wiederaufnahme gestützt auf Art. 18 Abs. 1 Bst. b Dublin-III-VO am 25. August 2020 ausdrücklich gut. Die Zuständigkeit Rumäniens steht somit grundsätzlich fest.</w:t>
      </w:r>
    </w:p>
    <w:p>
      <w:r>
        <w:rPr>
          <w:b/>
        </w:rPr>
        <w:t>E. 4</w:t>
      </w:r>
    </w:p>
    <w:p>
      <w:r>
        <w:t>Nachfolgend ist zu prüfen, ob - wie beantragt - das Selbsteintrittsrecht nach Art. 17 Abs. 1 erster Satz Dublin-III-VO, konkretisiert in Art. 29a Abs. 3 der Asylverordnung 1 vom 11. August 1999 (AsylV 1, SR 142.311), auszuüben ist.</w:t>
      </w:r>
    </w:p>
    <w:p>
      <w:r>
        <w:rPr>
          <w:b/>
        </w:rPr>
        <w:t>E. 4.1</w:t>
      </w:r>
    </w:p>
    <w:p>
      <w:r>
        <w:t>Der Beschwerdeführer macht geltend, in Rumänien gebe es viele türkische Geheimdienstagenten, die ihn in die Türkei entführten könnten. Dort drohe ihm eine Haftstrafe aus politischen Gründen. Der rumänische Staat sei nicht fähig, ihn zu schützen. Bei einer Rückkehr nach Rumänien drohe ihm eine Verletzung von Art. 3 EMRK, weshalb sich die Schweiz für sein Asylverfahren zuständig erklären müsse.</w:t>
      </w:r>
    </w:p>
    <w:p>
      <w:r>
        <w:rPr>
          <w:b/>
        </w:rPr>
        <w:t>E. 4.1.1</w:t>
      </w:r>
    </w:p>
    <w:p>
      <w:r>
        <w:t>Der Beschwerdeführer hat nicht substantiiert und es geht auch nicht aus den Akten hervor, weshalb ihm bei einer Rückkehr nach Rumänien eine Verletzung von Art. 3 EMRK drohen soll. Es gilt jedoch Folgendes festzuhalten:</w:t>
      </w:r>
    </w:p>
    <w:p>
      <w:r>
        <w:rPr>
          <w:b/>
        </w:rPr>
        <w:t>E. 4.1.2</w:t>
      </w:r>
    </w:p>
    <w:p>
      <w:r>
        <w:t>Wie die Vorinstanz zutreffend ausgeführt hat, gibt es keine wesentlichen Gründe für die Annahme, dass das Asylverfahren und die Aufnahmebedingungen für asylsuchende Personen in Rumänien systemische Schwachstellen im Sinne von Art. 3 Abs. 2 Sätze 2 und 3 Dublin-III-VO hätten, die eine Gefahr einer unmenschlichen oder entwürdigenden Behandlung im Sinne des Artikels 4 der EU-Grundrechtecharta und Art. 3 EMRK mit sich bringen würden. 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4.1.3</w:t>
      </w:r>
    </w:p>
    <w:p>
      <w:r>
        <w:t>Der Beschwerdeführer hat kein konkretes und ernsthaftes Risiko dargetan, dass die rumänischen Behörden in seinem Fall den erwähnten völkerrechtlichen Verpflichtungen nicht nachkommen würden. Seine Befürchtung, von türkischen Geheimdienstagenten in Rumänien in die Türkei verschleppt zu werden, basiert auf reinen Mutmassungen. Er kann keine Vorkommnisse aufzeigen, welche seine Vermutung stützen würden. Zudem hat er kein konkretes und ernsthaftes Risiko dargetan, die rumänischen Behörden würden ihm, sollte er tatsächlich einer Gefährdung ausgesetzt sein, den nötigen Schutz verweigern oder dazu nicht in der Lage sein. Folglich kann auf die zutreffenden Ausführungen der Vorinstanz in der angefochtenen Verfügung verwiesen werden, wonach Rumänien ein Rechtsstaat ist, welcher über eine funktionierende Polizeibehörde verfügt, die sowohl schutzwillig als auch schutzfähig ist. Sollte sich der Beschwerdeführer in Rumänien vor Übergriffen fürchten, kann er sich an die dafür zuständigen staatlichen Stellen wenden.</w:t>
      </w:r>
    </w:p>
    <w:p>
      <w:r>
        <w:rPr>
          <w:b/>
        </w:rPr>
        <w:t>E. 4.2</w:t>
      </w:r>
    </w:p>
    <w:p>
      <w:r>
        <w:t>Zusammenfassend liegt kein Grund für die Anwendung der Ermessensklausel von Art. 17 Dublin-III-VO oder von Art. 29a Abs. 3 AsylV 1 vor. Rumänien bleibt somit zuständiger Mitgliedstaat gemäss Dublin-III-VO und ist verpflichtet, den Beschwerdeführer wiederaufzunehmen.</w:t>
      </w:r>
    </w:p>
    <w:p>
      <w:r>
        <w:rPr>
          <w:b/>
        </w:rPr>
        <w:t>E. 5</w:t>
      </w:r>
    </w:p>
    <w:p>
      <w:r>
        <w:t>Die Beschwerde ist abzuweisen.</w:t>
      </w:r>
    </w:p>
    <w:p>
      <w:r>
        <w:rPr>
          <w:b/>
        </w:rPr>
        <w:t>E. 5.1</w:t>
      </w:r>
    </w:p>
    <w:p>
      <w:r>
        <w:t>Mit dem vorliegenden Urteil fällt der am 2. September 2020 angeordnete Vollzugsstopp dahin. Das Gesuch um Erteilung der aufschiebenden Wirkung der Beschwerde ist gegenstandslos geworden.</w:t>
      </w:r>
    </w:p>
    <w:p>
      <w:r>
        <w:rPr>
          <w:b/>
        </w:rPr>
        <w:t>E. 5.2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