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F-4359/2017 vom 13. Juni 2018</w:t>
      </w:r>
    </w:p>
    <w:p>
      <w:r>
        <w:t>Bundesverwaltungsgericht, 2018-06-13, DE</w:t>
      </w:r>
    </w:p>
    <w:p>
      <w:r>
        <w:rPr>
          <w:b/>
        </w:rPr>
        <w:t xml:space="preserve">Quelle: </w:t>
      </w:r>
      <w:r>
        <w:t>https://mcp.opencaselaw.ch/entscheid/bvger_F-4359_2017</w:t>
      </w:r>
    </w:p>
    <w:p>
      <w:r>
        <w:t>FR: TAF F-4359/2017 du 13 juin 2018</w:t>
      </w:r>
    </w:p>
    <w:p>
      <w:r>
        <w:t>IT: TAF F-4359/2017 del 13 giugno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und Einsprecher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thailändischen Staatsangehörigen um Erteilung eines Visums für einen 30-tägigen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 entgegen der Ansicht des Beschwerdeführers -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geändert durch Verordnung (EU) 2017/458, ABl. L 74 vom 18.03.2017;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beziehungsweise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Die Vorinstanz verweigerte die Erteilung des beantragten Schengen-Visums mit der Begründung, einerseits bestünden Zweifel am Aufenthaltszweck, andererseits erscheine die anstandslose und fristgerechte Wiederausreise nicht als hinreichend gesichert.</w:t>
      </w:r>
    </w:p>
    <w:p>
      <w:r>
        <w:rPr>
          <w:b/>
        </w:rPr>
        <w:t>E. 5.2</w:t>
      </w:r>
    </w:p>
    <w:p>
      <w:r>
        <w:t>Wie oben erwähnt, unterliegt die Gesuchstellerin aufgrund ihrer Staatszugehörigkeit der Visumspflicht (vgl. Anhang I zur Verordnung [EG] Nr. 539/2001 [ABl. L 81 vom 21.03.2001; zum vollständigen Quellennachweis vgl. Fussnote zu Art. 4 Abs. 1 VEV]). Bei der Prüfung der Einreisevor-aussetzungen nach Art. 5 Abs. 1 SGK ist die Frage der gesicherten Wiederausreise zentral.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politischoder wirtschaftlich vergleichsweise ungünstigen Verhältnissen können ein Indiz dafür sein, dass die persönliche Interessenlage nicht mit dem Ziel und Zweck einer zeitlich befristeten Einreisebewilligung in Einklang steht.</w:t>
      </w:r>
    </w:p>
    <w:p>
      <w:r>
        <w:rPr>
          <w:b/>
        </w:rPr>
        <w:t>E. 5.3</w:t>
      </w:r>
    </w:p>
    <w:p>
      <w:r>
        <w:t>Sowohl die anhaltende politische Krise in Thailand, insbesondere aufgrund des Militärputsches im Mai 2014, als auch die schwierigen weltwirtschaftlichen Rahmenbedingungen wirken sich nach wie vor negativ auf die Wirtschaftsentwicklung des traditionell exportorientierten Landes aus. Das Wachstum blieb auch im Jahre 2015 mit 2,8% - wie bereits im vorangehenden Jahr - hinter den Erwartungen zurück. Die von der Übergangsregierung initiierten Massnahmen führen nur langsam zur wirtschaftlichen Erholung. Dank positiver Entwicklung in der Tourismusbranche und erster Wachstumsimpulse aus kurzfristigen Fördermassnahmen für kleine und mittlere Unternehmen sowie umfangreichen staatlichen Infrastrukturvorhaben wuchs das BIP im Jahr 2016 um 3,2 Prozent. Im Zuge der allgemeinen wirtschaftlichen Entwicklung hat sich zwar der Anteil der Bevölkerung, der unter der Armutsgrenze lebt, auf 10,5% (2014) reduziert. Weitere 9% der Bevölkerung sind jedoch von Armut bedroht. Vor allem in ländlich geprägten Gebieten im Norden, Nordosten und Süden Thailands ist Armut nach wie vor verbreitet. Die allgemeine Sicherheitslage in Thailand hat sich trotz des Militärputsches und eines Anschlags im Jahr 2015 stabilisiert (Quellen: Deutsches Auswärtiges Amt, www.auswaertiges-amt.de Aussen- und Europapolitik Länderinformationen Thailand Innenpolitik, Wirtschaft [Stand März 2018] sowie Reise- und Sicherheitshinweise [Stand 16. Mai 2018]; Weltbank, www.worldbank.org where we work Thailand systematic country diagnostic; Websites besucht im Mai 2018; vgl. auch Urteil des BVGer F-2680/2017 vom 28. September 2017 E. 5.3).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In Anbetracht dieser Umstände ist nicht zu beanstanden, wenn die Vorinstanz das Risiko einer nicht fristgerechten Wiederausreise mit Bezug auf gesuchstellende Personen aus Thailand allgemein als erheblich einschätzt. Allerdings sind bei der Risikoanalyse neben allgemeinen Umständen und Erfahrungen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handelt es sich um eine 34-jährige, unverheiratete Frau, welche in Hausgemeinschaft mit ihrer Mutter in Bangkok leben soll (vgl. SEM act. 1 S. 6). Irgendwelche Indizien für das Bestehen eines besonderen Betreuungsbedarfs, der nur durch die Gesuchstellerin selbst abgedeckt werden könnte, sind aus den Akten nicht ersichtlich und werden auch nicht geltend gemacht. Es kann demnach nicht davon ausgegangen werden, im persönlichen oder familiären Umfeld der Eingeladenen seien Verpflichtungen oder gar Abhängigkeiten vorhanden, die besondere Gewähr für eine Rückkehr ins Heimatland bieten könnten. Dies umso weniger, als ihre mittlerweile wohl bald volljährige Tochter nicht bei der Gesuchstellerin selber, sondern bei ihrem Vater lebt. Tritt hinzu, dass in Situationen angespannter wirtschaftlicher und/oder politischer Verhältnisse selbst zurückbleibende nahe Angehörige regelmässig nicht verlässlich davon abhalten können, den Entscheid für eine Emigration zu fällen; dies etwa in der Hoffnung, die Zurückgebliebenen aus dem Ausland wirtschaftlich effizienter unterstützen zu können.</w:t>
      </w:r>
    </w:p>
    <w:p>
      <w:r>
        <w:rPr>
          <w:b/>
        </w:rPr>
        <w:t>E. 6.2</w:t>
      </w:r>
    </w:p>
    <w:p>
      <w:r>
        <w:t>Entsprechend grosse Bedeutung kommt deshalb den wirtschaftlichen Verhältnissen zu, in denen sich die Gesuchstellerin befindet. Bezüglich ihrer aktuellen beruflichen Tätigkeit gab sie an, keiner Erwerbstätigkeit nachzugehen ("unemployed"; vgl. Ziff. 19 des Einreisegesuches; SEM act. 4 S. 34). Ungeachtet dessen machte der Beschwerdeführer gegenüber der kantonalen Migrationsbehörde jedoch geltend, die Eingeladene arbeite auf Abruf zu 60-100% im Büro eines Klimaanlagen-Geschäfts in Bangkok und stelle zudem Salat-Mahlzeitenboxen zusammen, welche sie direkt verkaufe (SEM act. 6 S. 48). Entsprechende Arbeitsbestätigungen oder allfällige Einkommensbelege, welche die angeblichen beruflichen Bindungen der Gesuchstellerin in Thailand zweifelsfrei nachgewiesen hätten, wurden hingegen von den Beteiligten weder während des vorinstanzlichen Verfahrens noch auf Beschwerdeebene vorgewiesen. Aufgrund der Aktenlage kann jedenfalls nicht von einer beruflichen Verankerung oder auch nur von vorteilhaften wirtschaftlichen Verhältnissen ausgegangen werden, welche die Gesuchstellerin nachhaltig von einer Emigration abzuhalten vermöchten.</w:t>
      </w:r>
    </w:p>
    <w:p>
      <w:r>
        <w:rPr>
          <w:b/>
        </w:rPr>
        <w:t>E. 6.3</w:t>
      </w:r>
    </w:p>
    <w:p>
      <w:r>
        <w:t>Kommt hinzu, dass die Eingeladene - wie der Beschwerdeführer gegenüber der kantonalen Migrationsbehörde vorbrachte - seit mehreren Jahren einen Freund aus Frankreich hat, welchen sie am 17. Februar 2014 nach thailändischer Tradition geheiratet hatte (vgl. SEM act. 6 S. 47). Wie aus den vorinstanzlichen Akten hervorgeht, versuchte die Gesuchstellerin in der Vergangenheit denn auch mehrmals, zu ihrem Freund nach Frankreich zu reisen, was die französischen Behörden jedoch stets ablehnten. Vor diesem Hintergrund ist nicht zu beanstanden, wenn die Vorinstanz sowie die Schweizer Vertretung in Bangkok grundsätzliche Zweifel am deklarierten Aufenthaltszweck hegten (Besuchsaufenthalt; vgl. Art. 16 i.V.m. Art. 12 Abs. 2 Bst. c in fine VEV). An dieser Beurteilung vermögen auch die wiederholten Beteuerungen des Beschwerdeführers, wonach in casu keineswegs von einer Gefälligkeitseinladung auszugehen sei, nichts zu ändern.</w:t>
      </w:r>
    </w:p>
    <w:p>
      <w:r>
        <w:rPr>
          <w:b/>
        </w:rPr>
        <w:t>E. 6.4</w:t>
      </w:r>
    </w:p>
    <w:p>
      <w:r>
        <w:t>Vor dem dargelegten allgemeinen und persönlichen Hintergrund durfte die Vorinstanz demnach willkürfrei davon ausgehen, die Wiederausreise der Eingeladenen sei im Sinne der massgeblichen Bestimmungen nicht gesichert. An der Richtigkeit dieser Einschätzung ändert auch die Tatsache nichts, dass der Beschwerdeführer, welcher gemäss den eingereichten Unterlagen fraglos über einen guten Leumund verfügt, die in Art. 7 Abs. 1 VEV geregelte Verpflichtungserklärung abgegeben und damit sein Vertrauen in ein rechtskonformes Verhalten seines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bereits mehrmals thailändische Gäste aus ihrem Verwandten- beziehungsweise Bekanntenkreis zu sich in die Schweiz eingeladen haben, welche fristgerecht wieder in ihr Heimatland zurückgekehrt sind, lässt doch auch dieser Umstand keine Rückschlüsse auf ein zukünftiges Verhalten der Gesuchstellerin selbst zu (vgl. Urteil des BVGer C-7715/2015 vom 28. April 2016 E. 6.3 m.H.).</w:t>
      </w:r>
    </w:p>
    <w:p>
      <w:r>
        <w:rPr>
          <w:b/>
        </w:rPr>
        <w:t>E. 6.5</w:t>
      </w:r>
    </w:p>
    <w:p>
      <w:r>
        <w:t>Bereits mit der fehlenden Gewähr für eine anstandslose Wiederausreise ist eine zwingende Voraussetzung zur Erteilung eines Schengen-Visums nicht erfüllt. Gründe für die Ausstellung eines Visums mit räumlich beschränkter Gültigkeit - wie vom Beschwerdeführer eventualiter beantragt - sind in casu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