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F-4351/2020 vom 15. September 2021</w:t>
      </w:r>
    </w:p>
    <w:p>
      <w:r>
        <w:t>Bundesverwaltungsgericht, 2021-09-15, DE</w:t>
      </w:r>
    </w:p>
    <w:p>
      <w:r>
        <w:rPr>
          <w:b/>
        </w:rPr>
        <w:t xml:space="preserve">Quelle: </w:t>
      </w:r>
      <w:r>
        <w:t>https://mcp.opencaselaw.ch/entscheid/bvger_F-4351_2020</w:t>
      </w:r>
    </w:p>
    <w:p>
      <w:r>
        <w:t>FR: TAF F-4351/2020 du 15 septembre 2021</w:t>
      </w:r>
    </w:p>
    <w:p>
      <w:r>
        <w:t>IT: TAF F-4351/2020 del 15 settembre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Vorab ist auf die Rüge der Beschwerdeführerin einzugehen, die Vor-instanz sei ihrer Begründungspflicht nicht rechtsgenüglich nachgekommen und habe den Untersuchungsgrundsatz verletzt, indem sie sich nicht mit dem FZA auseinander gesetzt habe, obwohl offensichtlich sei, dass es sich bei ihr um die Ehefrau eines französischen Staatsangehörigen handle.</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Entgegen der Auffassung der Beschwerdeführerin lassen sich aus dem Umfang der Begründung keine direkten Schlüsse auf ihr rechtliches Genügen ziehen. Massgebend ist allein, ob sie ihre Funktion erfüllt. Das kann auch eine knappe Begründung leisten. Die Vorinstanz legt verständlich dar, aus welchen Gründen ihrer Ansicht nach in casu von einem Verstoss gegen die öffentliche Sicherheit und Ordnung im Sinne von Art. 67 Abs. 2 Bst. a AIG auszugehen ist. Im Weiteren gilt es zu berücksichtigen,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F-4156/2016 vom 8. Dezember 2017 E. 3.4 m.H.). Es war der Beschwerdeführerin denn auch ohne weiteres möglich, sachgerecht und vollständig gegen die vorinstanzliche Verfügung zu argumentieren. Ihre Rügen sind daher als unbegründet zurückzuweisen. Soweit diese Sachverhalts- und Subsumtionsfragen beinhalten, bilden sie überdies Gegenstand der materiell-rechtlichen Beurteilung.</w:t>
      </w:r>
    </w:p>
    <w:p>
      <w:r>
        <w:rPr>
          <w:b/>
        </w:rPr>
        <w:t>E. 4</w:t>
      </w:r>
    </w:p>
    <w:p>
      <w:r>
        <w:t>Gemäss Art. 3 FZA in Verbindung mit Art. 1 Abs. 1 FZA haben Angehörige von Vertragsstaaten des Freizügigkeitsabkommens ein Recht auf Einreise im Sinne einer originären Berechtigung. Machen sie davon tatsächlich Gebrauch, kommt dasselbe Recht ihren Familienangehörigen ungeachtet der Staatsangehörigkeit als abgeleitete Rechtsposition zu (vgl. dazu Urteil des BGer 2C_1092/2013 vom 4. Juli 2014 E. 6.2.3; ferner Giulia Santangelo, Kein abgeleitetes Recht auf Freizügigkeit ohne Ausübung des Freizügigkeitsrechts durch den originär Berechtigten, in: dRSK, publiziert am 5. Dezember 2014). Die Beschwerdeführerin ist türkische Staatsangehörige und seit dem 13. Dezember 2019 mit einem französischen Staatsangehörigen verheiratet, welcher als originär Berechtigter tatsächlich von seinen Freizügigkeitsrechten Gebrauch macht, wohnt er doch in Frankreich und betreibt im Kanton Aargau als Grenzgänger einen Imbiss-Kebab-Laden. Die Ehegattin gehört daher - entgegen der Auffassung des SEM - zu den Begünstigten des Abkommens vom 21. Juni 1999 zwischen der Schweizerischen Eidgenossenschaft einerseits und der Europäischen Gemeinschaft und ihren Mitgliedstaaten andererseits über die Freizügigkeit (Freizügigkeitsabkommen, FZA, SR 0.142.112.681). Die Beschwerdeführerin verfügt folglich über ein abgeleitetes Freizügigkeitsrecht (Art. 3 Abs. 2 Bst. a Anhang I FZA).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5</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6.1</w:t>
      </w:r>
    </w:p>
    <w:p>
      <w:r>
        <w:t>Im Anwendungsbereich des Freizügigkeitsabkommens stellt ein Einreiseverbot nach Art. 67 AIG eine Massnahme dar, welche die Ausübung vertraglich zugesicherter Rechte auf Freizügigkeit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somit Massnahmen entgegen, die im Sinne eines Automatismus an vergangenes Fehlverhalten anknüpfen, und solchen, die aus Gründen der Generalprävention angeordnet werden. Insoweit kommt es im Unterschied zum Landesrecht auf die Rückfallgefahr an, wobei die in Kauf zu nehmende Rückfallgefahr umso geringer ist, je schwerer die möglichen Rechtsgüterverletzungen wiegen (vgl. BGE 139 II 121 E. 5.3).</w:t>
      </w:r>
    </w:p>
    <w:p>
      <w:r>
        <w:rPr>
          <w:b/>
        </w:rPr>
        <w:t>E. 7.1</w:t>
      </w:r>
    </w:p>
    <w:p>
      <w:r>
        <w:t>Das SEM hat sich in der angefochtenen Verfügung nicht zum Freizügigkeitsabkommen geäussert und in ihrer Vernehmlassung die Auffassung vertreten, die Beschwerdeführerin hätte auch mit einem französischen Aufenthaltstitel sowie als Ehegattin eines französischen Staatsangehörigen gemäss FZA kein Recht auf Arbeitsaufnahme ableiten können. Dem ist entgegenzuhalten, dass das Bundesverwaltungsgericht in einem jüngeren Grundsatzurteil (BVGE 2019 VII/3, E. 11.1) festgehalten hat, wenn ein EU-Angehöriger sein originäres Freizügigkeitsrecht als Grenzgänger in Anspruch nehme, könne seine drittstaatsangehörige Ehefrau im Rahmen des FZA daraus das Recht ableiten, ohne nationale Arbeitsbewilligung (Ausweis G) als Grenzgängerin in der Schweiz zu arbeiten.</w:t>
      </w:r>
    </w:p>
    <w:p>
      <w:r>
        <w:rPr>
          <w:b/>
        </w:rPr>
        <w:t>E. 7.2</w:t>
      </w:r>
    </w:p>
    <w:p>
      <w:r>
        <w:t>Selbst wenn sich die Beschwerdeführerin der illegalen Erwerbstätigkeit in der Schweiz schuldig gemacht und damit gegen ausländerrechtliche Bestimmungen verstossen hätte, wie es die Vorinstanz annimmt, dürfte ihr Verhalten (vgl. Bst. A. des Sachverhalts) kaum eine tatsächliche und hinreichend schwere Gefährdung darstellen, die ein Grundinteresse der Gesellschaft berührt, zumal sich die Schweiz insbesondere dann grosse Zurückhaltung auferlegt, wenn Verstösse gegen ausländerrechtliche Bestimmungen zur Diskussion stehen, welche der Personenfreizügigkeit vorläufig Schranken setzen (vgl. Urteil des BVGer F-1771/2020 vom 6. Juli 2020 E. 7.3 m.H.).</w:t>
      </w:r>
    </w:p>
    <w:p>
      <w:r>
        <w:rPr>
          <w:b/>
        </w:rPr>
        <w:t>E. 7.3</w:t>
      </w:r>
    </w:p>
    <w:p>
      <w:r>
        <w:t>Das Bundesverwaltungsgericht gelangt daher zum Schluss, dass das Verhalten der Beschwerdeführerin - selbst wenn es widerrechtlich gewesen sein sollte - keine hinreichende Gefährdung der öffentlichen Ordnung begründet, welche die Grundinteressen der Gesellschaft berührt. Das gegen die Beschwerdeführerin verhängte Einreiseverbot hält demnach vor dem Freizügigkeitsabkommen nicht stand.</w:t>
      </w:r>
    </w:p>
    <w:p>
      <w:r>
        <w:rPr>
          <w:b/>
        </w:rPr>
        <w:t>E. 8</w:t>
      </w:r>
    </w:p>
    <w:p>
      <w:r>
        <w:t>Aus diesen Erwägungen ergibt sich, dass die angefochtene Verfügung bundesrechtswidrig ist (Art. 49 Bst. a VwVG). Die Beschwerde ist daher gutzuheissen.</w:t>
      </w:r>
    </w:p>
    <w:p>
      <w:r>
        <w:rPr>
          <w:b/>
        </w:rPr>
        <w:t>E. 9.1</w:t>
      </w:r>
    </w:p>
    <w:p>
      <w:r>
        <w:t>Bei diesem Ausgang des Verfahrens sind weder der Beschwerdeführerin noch der Vorinstanz Verfahrenskosten aufzuerlegen (vgl. Art. 63 Abs. 1 und 2 VwVG i.V.m. Art. 1 ff. des Reglements vom 21. Februar 2008 über die Kosten und Entschädigungen vor dem Bundesverwaltungsgericht [VGKE, SR 173.320.2]). Der am 6. November 2020 entrichtete Kostenvorschuss von Fr. 900.- ist der Beschwerdeführerin deshalb zurückzuerstatten.</w:t>
      </w:r>
    </w:p>
    <w:p>
      <w:r>
        <w:rPr>
          <w:b/>
        </w:rPr>
        <w:t>E. 9.2</w:t>
      </w:r>
    </w:p>
    <w:p>
      <w:r>
        <w:t>Als obsiegender Partei ist der durch einen Rechtsanwalt vertretenen Beschwerdeführerin für die ihr erwachsenen notwendigen Kosten eine angemessene Parteientschädigung zulasten der Vorinstanz zuzusprechen (Art. 64 Abs. 1 VwVG i.V.m. Art. 7 Abs. 1 VGKE). In Berücksichtigung des Umfangs und der Notwendigkeit der Eingaben, der Schwierigkeit der Streitsache in rechtlicher und tatsächlicher Hinsicht, der aktenkundigen Bemühungen sowie der Bandbreite der bislang ausgerichteten Entschädigungen für vergleichbare Fälle ist die Parteientschädigung nach Massgabe der einschlägigen Bestimmungen auf Fr. 2'000.- (inkl. Auslagen) festzusetzen (Art. 8-10 und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