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F-4347/2016 vom 6. Juni 2018</w:t>
      </w:r>
    </w:p>
    <w:p>
      <w:r>
        <w:t>Bundesverwaltungsgericht, 2018-06-06, DE</w:t>
      </w:r>
    </w:p>
    <w:p>
      <w:r>
        <w:rPr>
          <w:b/>
        </w:rPr>
        <w:t xml:space="preserve">Quelle: </w:t>
      </w:r>
      <w:r>
        <w:t>https://mcp.opencaselaw.ch/entscheid/bvger_F-4347_2016</w:t>
      </w:r>
    </w:p>
    <w:p>
      <w:r>
        <w:t>FR: TAF F-4347/2016 du 6 juin 2018</w:t>
      </w:r>
    </w:p>
    <w:p>
      <w:r>
        <w:t>IT: TAF F-4347/2016 del 6 giugno 2018</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zur Beschwerde legitimiert (Art. 48 Abs. 1 VwVG). Auf die frist- und formgerecht eingereichte Beschwerde ist somit einzutreten (Art. 50 und 52 VwVG).</w:t>
      </w:r>
    </w:p>
    <w:p>
      <w:r>
        <w:rPr>
          <w:b/>
        </w:rPr>
        <w:t>E. 1.4</w:t>
      </w:r>
    </w:p>
    <w:p>
      <w:r>
        <w:t>Das Bundesverwaltungsgericht entscheidet in der vorliegenden Streit-sache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absehenoder ein Einreiseverbot endgültig oder vorübergehend aufheben (Art. 67 Abs. 5 AuG).</w:t>
      </w:r>
    </w:p>
    <w:p>
      <w:r>
        <w:rPr>
          <w:b/>
        </w:rPr>
        <w:t>E. 3.2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80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Botschaft, a.a.O. S. 3760 sowie Urteil des BVGer F-5357/2015 vom 22. September 2016 E. 3.2 m.H.).</w:t>
      </w:r>
    </w:p>
    <w:p>
      <w:r>
        <w:rPr>
          <w:b/>
        </w:rPr>
        <w:t>E. 4.1</w:t>
      </w:r>
    </w:p>
    <w:p>
      <w:r>
        <w:t>Die Vorinstanz begründete das gegen den Beschwerdeführer verhängte Einreiseverbot zum einen mit dessen Wegweisung durch die zuständige Behörde, die wiederholt zu Ausschaffungshaft geführt habe, um den Vollzug seiner Wegweisung sicher zu stellen (Art. 67 Abs. 2 Bst. c AuG); zum andern warf sie ihm vor, während seines (widerrechtlichen) Aufenthaltes in der Schweiz immer wieder straffällig geworden zu sein, insbesondere wegen zahlreicher Verstösse gegen das Betäubungsmittel- und Ausländergesetz (rechtswidrige Einreise, rechtswidriger Aufenthalt, Erwerbstätigkeit ohne Bewilligung), aber auch wegen Hausfriedensbruchs, Diebstahls oder Hinderung einer Amtshandlung, und so gegen die öffentliche Sicherheit und Ordnung in der Schweiz verstossen zu haben (Art. 67 Abs. 2 Bst. a AuG).</w:t>
      </w:r>
    </w:p>
    <w:p>
      <w:r>
        <w:rPr>
          <w:b/>
        </w:rPr>
        <w:t>E. 4.2</w:t>
      </w:r>
    </w:p>
    <w:p>
      <w:r>
        <w:t>Aufgrund der Akten steht fest, dass der Beschwerdeführer - sofern er sich nicht gerade zwecks Verbüssung von Freiheitsstrafen im Strafvollzug befand - mindestens dreimal in Ausschaffungshaft versetzt werden musste, um den Vollzug seiner Wegweisung sicher zu stellen, letztmals am 16. Juni 2016 (vgl. Bst. A.b des Sachverhalts), was von ihm denn auch nie in Abrede gestellt wurde. Bereits dadurch hat er einen Fernhaltegrund (vgl. Art. 67 Abs. 2 Bst. c AuG) gesetzt, der für sich allein eine mehrjährige Fernhaltemassnahme rechtfertigen würde.</w:t>
      </w:r>
    </w:p>
    <w:p>
      <w:r>
        <w:rPr>
          <w:b/>
        </w:rPr>
        <w:t>E. 4.3</w:t>
      </w:r>
    </w:p>
    <w:p>
      <w:r>
        <w:t>Wie oben ausgeführt, ist der Beschwerdeführer während seiner Anwesenheit in der Schweiz strafrechtlich immer wieder negativ in Erscheinung getreten. So weist sein Strafregisterauszug vom 10. Juni 2016 neun Einträge auf, zur Hauptsache wegen Verstössen gegen das Betäubungsmittelgesetz sowie wegen Verletzung ausländerrechtlicher Vorschriften (vgl. ausführlich Bst. A.c des Sachverhalts). Damit hat er fraglos gegen die öffentliche Sicherheit und Ordnung verstossen bzw. polizeiliche Schutzgüter gefährdet und somit einen Fernhaltegrund im Sinne von Art. 67 Abs. 2 Bst. a AuG gesetzt. Als unbehelflich erweist sich somit der Einwand seiner vormaligen Rechtsvertreterin, wonach es sich hierbei vorwiegend nur um geringfügige Verstösse gegen das Betäubungsmittelgesetz gehandelt habe, welche ausschliesslich mit Eigenkonsum von Marihuana in Zusammenhang gestanden hätten; ebenso wenig vermag deren Schlussfolgerung zu überzeugen, wonach illegaler Aufenthalt schliesslich unweigerlich in die Kleinkriminalität führe, da ohne Arbeitserlaubnis keine andere Möglichkeit zur Mittelbeschaffung offen stehe.</w:t>
      </w:r>
    </w:p>
    <w:p>
      <w:r>
        <w:rPr>
          <w:b/>
        </w:rPr>
        <w:t>E. 5.1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7. Aufl. 2016, Rz. 514 ff.).</w:t>
      </w:r>
    </w:p>
    <w:p>
      <w:r>
        <w:rPr>
          <w:b/>
        </w:rPr>
        <w:t>E. 5.2</w:t>
      </w:r>
    </w:p>
    <w:p>
      <w:r>
        <w:t>Das Verhalten des Beschwerdeführers ist zweifelsohne geeignet, die schweizerische Rechtsordnung ernsthaft zu beeinträchtigen. Dieses Fehlverhalten wiegt objektiv schwer, zumal sich der Beschwerdeführer durch die zahlreichen gegen ihn ausgesprochenen Strafen und deren Vollzug ganz offensichtlich nicht beeindrucken liess und immer wieder delinquiert hat. Dadurch hat er deutlich gezeigt, dass er offensichtlich nicht gewillt ist, sich an die Rechtsordnung zu halten. Noch während des Beschwerdeverfahrens hat er sich uneinsichtig gezeigt und versucht, seine zahlreichen Straftaten zu bagatellisieren. Aus seinem manifestierten und äusserst renitenten Verhalten - insbesondere auch gegenüber den fremdenpolizeilichen Vollzugsbehörden - wird auf eine Gefährdung der öffentlichen Sicherheit und Ordnung geschlossen, weshalb nach wie vor ein grosses öffentliches Fernhalteinteresse gegeben ist. Das Hauptaugenmerk der Fernhaltemassnahme liegt in ihrer spezialpräventiven Zielsetzung. Das Einreiseverbot soll weiteren Straftaten des Beschwerdeführers in der Schweiz entgegenwirken und ihn überdies dazu anhalten, bei einer allfälligen künftigen Wiedereinreise zu Besuchszwecken nach Ablauf der Dauer des Einreiseverbots keine weiteren Verstösse gegen die öffentliche Sicherheit und Ordnung zu begehen. Als gewichtig zu erachten ist auch das generalpräventiv motivierte Interesse, die öffentliche Sicherheit und Ordnung durch eine konsequente Massnahmenpraxis zu schützen (vgl. BVGE 2014/20 E. 8.2 m.H.).</w:t>
      </w:r>
    </w:p>
    <w:p>
      <w:r>
        <w:rPr>
          <w:b/>
        </w:rPr>
        <w:t>E. 5.3</w:t>
      </w:r>
    </w:p>
    <w:p>
      <w:r>
        <w:t>Dem öffentlichen Interesse an seiner befristeten Fernhaltung stellt der Beschwerdeführer seine privaten Interessen entgegen und macht geltend, zurzeit sei beim Zivilstandskreis Oberland ein Ehevorbereitungsverfahren angehoben worden, sei er doch mit einer Schweizer Bürgerin (der Parteivertreterin) verlobt. Zudem sei beim Migrationsdienst des Kantons Bern ein Gesuch um Erteilung einer Kurzaufenthaltsbewilligung zum Zwecke der Eheschliessung beantragt worden. Die Vorinstanz hat in ihrer Vernehmlassung hinreichend dargelegt, welche Möglichkeiten den Betroffenen trotz bestehender Fernhaltemassnahme offen stehen, weshalb sich weitere Erwägungen hierzu erübrigen.</w:t>
      </w:r>
    </w:p>
    <w:p>
      <w:r>
        <w:rPr>
          <w:b/>
        </w:rPr>
        <w:t>E. 5.4</w:t>
      </w:r>
    </w:p>
    <w:p>
      <w:r>
        <w:t>Nach dem Gesagten kommt daher das Bundesverwaltungsgericht zum Schluss, dass das gegen den Beschwerdeführer verhängte und auf fünf Jahre befristete Einreiseverbot eine verhältnismässige und angemessene Massnahme zum Schutze der öffentlichen Sicherheit und Ordnung darstellt.</w:t>
      </w:r>
    </w:p>
    <w:p>
      <w:r>
        <w:rPr>
          <w:b/>
        </w:rPr>
        <w:t>E. 6</w:t>
      </w:r>
    </w:p>
    <w:p>
      <w:r>
        <w:t>Aus diesen Erwägungen ergibt sich, dass die angefochtene Verfügung im Lichte von Art. 49 VwVG nicht zu beanstanden ist. Die Beschwerde ist somit abzuweisen.</w:t>
      </w:r>
    </w:p>
    <w:p>
      <w:r>
        <w:rPr>
          <w:b/>
        </w:rPr>
        <w:t>E. 7</w:t>
      </w:r>
    </w:p>
    <w:p>
      <w:r>
        <w:t>Entsprechend dem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