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F-4344/2023 vom 11. Juli 2023</w:t>
      </w:r>
    </w:p>
    <w:p>
      <w:r>
        <w:t>Bundesverwaltungsgericht, 2023-07-11, DE</w:t>
      </w:r>
    </w:p>
    <w:p>
      <w:r>
        <w:rPr>
          <w:b/>
        </w:rPr>
        <w:t xml:space="preserve">Quelle: </w:t>
      </w:r>
      <w:r>
        <w:t>https://mcp.opencaselaw.ch/entscheid/bvger_F-4344_2023_d20230711</w:t>
      </w:r>
    </w:p>
    <w:p>
      <w:r>
        <w:t>FR: TAF F-4344/2023 du 11 juillet 2023</w:t>
      </w:r>
    </w:p>
    <w:p>
      <w:r>
        <w:t>IT: TAF F-4344/2023 del 11 luglio 2023</w:t>
      </w:r>
    </w:p>
    <w:p>
      <w:pPr>
        <w:pStyle w:val="Heading2"/>
      </w:pPr>
      <w:r>
        <w:t>Regeste</w:t>
      </w:r>
    </w:p>
    <w:p>
      <w:r>
        <w:t>Einreiseverbot | Einreiseverbot; Verfügung des SEM vom 11. Juli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w:t>
      </w:r>
    </w:p>
    <w:p>
      <w:r>
        <w:t>F-4344/2023 Seite 4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w:t>
      </w:r>
    </w:p>
    <w:p>
      <w:r>
        <w:t>F-4344/2023 Seite 5</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 liegenden Beschwerdeverfahren, in dem das Bundesverwaltungsgericht sowohl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rPr>
          <w:b/>
        </w:rPr>
        <w:t>E. 4.3</w:t>
      </w:r>
    </w:p>
    <w:p>
      <w:r>
        <w:t>Das in Art. 67 Abs. 1 Bst. c AIG geregelte Einreiseverbot stellt keine Sanktion dar, sondern eine Massnahme zur Abwendung einer künftigen Störung der öffentlichen Sicherheit und Ordnung (vgl. Botschaft zum</w:t>
      </w:r>
    </w:p>
    <w:p>
      <w:r>
        <w:t>F-4344/2023 Seite 6 Bundesgesetz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rPr>
          <w:b/>
        </w:rPr>
        <w:t>E. 5.1</w:t>
      </w:r>
    </w:p>
    <w:p>
      <w:r>
        <w:t>Die Vorinstanz begründet das Einreiseverbot damit, dass der Be- schwerdeführer in der Schweiz erwerbstätig gewesen sei, ohne im Besitz</w:t>
      </w:r>
    </w:p>
    <w:p>
      <w:r>
        <w:t>F-4344/2023 Seite 7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sich zu keinem Zeitpunkt in die Küche begeben, da die Bewilli- gung noch nicht vorgelegen habe. Er habe sich, während er auf die Bewil- ligung gewartet habe, als Tourist in den H._______ Bergen vergnügt. Es liege kein einziger Beweis dafür vor, dass er einer Erwerbstätigkeit nach- gegangen sei. Alle mit einem Einreiseverbot belegten Personen hätten übereinstimmend ausgesagt, als Touristen in die Schweiz eingereist zu sein und hier auf die Ausstellung der Bewilligung gewartet zu haben. Als israelischem Staatsangehörigem sei es ihm erlaubt, visumsfrei in die Schweiz einzureisen.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w:t>
      </w:r>
    </w:p>
    <w:p>
      <w:r>
        <w:t>F-4344/2023 Seite 8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I._______ (Beschwerdeführer im Verfahren F-4355/2023) sei bestätigt worden, dass die im Rapport der Kapo C._______ aufgeführten Personen die Gastarbeiter [im Hotel D._______ in E._______] überwachen würden. Aus dem Rapport gehe ebenfalls hervor, dass mit an Sicherheit grenzender Wahrscheinlichkeit davon ausgegangen werden dürfe, dass die in Frage stehenden Personen [darunter der Beschwerdeführer] einer Arbeit oder In- struktion des Personals im Hotel nachgegangen seien. Dafür spreche das laufende Bewilligungsverfahren sowie die Aussage von I._______, wonach die Arbeitsschritte des Personals von jüdischen Fachpersonen überwacht würden. Die im Rapport festgehaltenen Ergebnisse würden schlüssig er- scheinen. Das Gesamtbild deute auf eine arbeitsteilige und weisungsge- bundene Struktur hin. Es liege die Vermutung nahe, dass die für den ge- planten Arbeitseinsatz notwendigen Visa und Aufenthaltsbewilligungen, welche zur Erwerbstätigkeit berechtigt hätten, nicht rechtzeitig hätten be- schafft werden können und deshalb eine verfrühte Erwerbsaufnahme unter dem Deckmantel des visums- und bewilligungsbefreiten Aufenthaltes zu touristischen Zwecken stattgefunden habe. Es müsse davon ausgegangen werden, dass dem Beschwerdeführer die gesetzlichen Voraussetzungen für die Arbeitsaufnahme in der Schweiz bekannt gewesen seien. Im Falle von Unklarheiten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J._______ verfasst worden, der anlässlich der Befragungen die Entgegennahme von Fotos verweigert habe, die gewisse der vom Einreiseverbot belegten Personen bei Freizeit- aktivitäten in der Region [E._______] hätten zeigen sollen. Auch habe er darauf verzichtet, diesbezüglich etwas im Protokoll zu vermerken.</w:t>
      </w:r>
    </w:p>
    <w:p>
      <w:r>
        <w:t>F-4344/2023 Seite 9 Angesichts dieser Umstände bestehe Grund zur Annahme, dass die Kapo C._______ die polizeiliche Untersuchung wenig professionell, tendenziös und einseitig geführt habe. Dies ergebe sich unter anderem auch aus der Tatsache, dass der Polizeirapport von «jüdischen Staatsangehörigen» spreche. Auch habe I._______ – anders als im Polizeirapport dargestellt – keine Aussagen gegenüber der Polizei gemacht und nicht ausgesagt, seine Mitarbeiter würden Gastarbeiter überwachen. Anlässlich der von der Kapo C._______ am 8. Juli 2023 und am 10. Juli 2023 durchgeführten Kontrollen habe weder er – der Beschwerdeführer – noch eine andere der mit einem Einreiseverbot belegten Personen in der Küche oder sonst wie bei der Ausübung einer Erwerbstätigkeit angetroffen werden können. Er habe anlässlich der polizeilichen Einvernahme ausgesagt, dass er nach Vorliegen seiner Bewilligung als Fleischkoch angestellt gewesen wäre. Da diese noch nicht vorgelegen habe, habe er sich zu keinem Zeitpunkt in die Küche begeben. Entgegen der Ansicht des Bundesverwaltungsgerichts halte das Bundesgericht im in der Zwischenverfügung vom 1. September 2023 zitierten BGE 131 IV 174 lediglich fest, dass mit der Aufnahme einer Erwerbstätigkeit der Aufenthalt und die Einreise rechtswidrig würden, nicht bereits mit der Einreise im Wissen, eine Erwerbstätigkeit aufzunehmen. Es sei nicht erstellt, dass er einer Erwerbstätigkeit nachgegangen sei. Als is- raelischem Staatsangehörigen sei es ihm erlaubt gewesen, in die Schweiz als Tourist einzureisen und sich hier bis zum Erhalt der entsprechenden Bewilligung aufzuhalten.</w:t>
      </w:r>
    </w:p>
    <w:p>
      <w:r>
        <w:rPr>
          <w:b/>
        </w:rPr>
        <w:t>E. 6.1</w:t>
      </w:r>
    </w:p>
    <w:p>
      <w:r>
        <w:t>Entgegen der Ansicht der Vorinstanz und in Übereinstimmung mit dem Strafbefehl vom 5. Dezember 2023 kann eine Erwerbstätigkeit nicht als er- stellt betrachtet werden. Der Beschwerdeführer gab anlässlich der Einver- nahme durch die Kantonspolizei C._______ am 10. Juli 2023 zu Protokoll, er habe nicht gearbeitet, da er festgestellt habe, dass die Arbeitsbewilli- gung nicht erteilt worden sei (S. 2 des Protokolls). Entgegen der Ansicht der Vorinstanz geht aus dem Rapport der Kapo C._______ vom 4. August 2023 nicht hervor, dass der Beschwerdeführer bei der Arbeit in der Küche oder bei der Beaufsichtigung von Gastarbeitern angetroffen worden wäre. Allein aus dem Umstand, dass er im Hotel in E._______, in welchem er hätte arbeiten sollen, anwesend gewesen ist und für ihn ein Antrag auf Aus- stellung einer Arbeitsbewilligung gestellt worden ist, lässt sich noch keine Erwerbstätigkeit ableiten. Seine Rüge, die Vorinstanz habe den Sachver- halt in diesem Punkt nicht richtig erstellt, ist folglich begründet.</w:t>
      </w:r>
    </w:p>
    <w:p>
      <w:r>
        <w:t>F-4344/2023 Seite 10</w:t>
      </w:r>
    </w:p>
    <w:p>
      <w:r>
        <w:rPr>
          <w:b/>
        </w:rPr>
        <w:t>E. 6.2</w:t>
      </w:r>
    </w:p>
    <w:p>
      <w:r>
        <w:t>Hingegen ist der Beschwerdeführer mit Strafbefehl der Staatsanwalt- schaft C._______ vom 5. Dezember 2023 wegen fahrlässiger rechtswidri- ger Einreise gemäss Art. 115 Abs. 1 lit. a AIG i.V.m. Art. 115 Abs. 3 AIG mit einer Busse von Fr. 300.– bestraft worden. Zur Begründung führt die Staatsanwaltschaft C._______ an, der Beschwerdeführer sei am 29. Juni 2023 mit der Absicht in die Schweiz eingereist, einer Erwerbstätigkeit als Fleischkoch nachzugehen. Er hätte bereits bei der Einreise in die Schweiz über ein Arbeitsvisum (gemeint wohl: Arbeitsbewilligung) verfügen müssen, was jedoch nicht der Fall gewesen sei. Dies habe er aus pflichtwidriger Unvorsichtigkeit getan, indem er sich nicht vor der Einreise bei den zustän- digen Behörden entsprechend erkundigt habe und obschon er zumindest hätte wissen müssen, dass das Arbeitsvisum bereits bei der Einreise hätte vorliegen müssen. Soweit aus den Akten ersichtlich, hat der Beschwerde- führer keine Einsprache gegen diesen Strafbefehl erhoben. Dieser ist somit in Rechtskraft erwachsen. Wie aus dem Strafbefehl hervorgeht, genügt die bei der Einreise bestehende Absicht, in der Schweiz erwerbstätig zu sein, um die Einreise als illegal zu qualifizieren, wenn kein entsprechendes Vi- sum vorliegt (vgl. BGE 131 IV 174 E. 3 und 4; HANS MAURER, in: StGB/JStG Kommentar, 21. Aufl. 2022, Art. 115 AIG N. 11; GAËLLE D. SAUTHIER, in: Code annoté de droit des migrations: Loi sur les étrangers [LEtr], Bd. II, 2017, S. 1301 f.) Durch die rechtswidrige Einreise hat der Beschwerdefüh- rer gegen die öffentliche Sicherheit und Ordnung verstossen und damit den Fernhaltegrund nach Art. 67 Abs. 1 Bst. c AIG gesetzt. Aufgrund des Straf- befehls vom 5. Dezember 2023 ist auch der Fernhaltegrund nach Art. 67 Abs. 1 Bst. d AIG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der erneuten Gefährdung der öffentlichen Sicherheit und Ordnung</w:t>
      </w:r>
    </w:p>
    <w:p>
      <w:r>
        <w:t>F-4344/2023 Seite 11 abzuhalten. Es besteht somit ein öffentliches Interesse an der befristeten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Abwägung der öffentlichen und privaten Interessen ergibt, dass das Einreiseverbot im Grundsatz zu bestätigen ist. In Anbetracht des iso- lierten und fahrlässig begangenen Verstosses gegen die Einreisevorschrif- ten in Gestalt einer einmaligen illegalen Einreise erweist sich die Dauer des Einreiseverbots von zwei Jahren jedoch als unverhältnismässig. Das Ein- reiseverbot ist deshalb auf den Urteilszeitpunkt zu befristen. Ein solches – rund 15 Monate dauerndes – Einreiseverbot bietet genügend Gewähr da- für, dass der Beschwerdeführer künftig die in der Schweiz beziehungs- weise im Schengen-Raum geltenden migrationsrechtlichen Vorschriften befolgt. Damit wird den auf dem Spiel stehenden öffentlichen Interessen sowie den Anforderungen an eine rechtsgleiche Verwaltungspraxis Rech- nung getragen.</w:t>
      </w:r>
    </w:p>
    <w:p>
      <w:r>
        <w:rPr>
          <w:b/>
        </w:rPr>
        <w:t>E. 8</w:t>
      </w:r>
    </w:p>
    <w:p>
      <w:r>
        <w:t>Nicht zu beanstanden ist, dass dem Beschwerdeführer die Einreise in das Hoheitsgebiet sämtlicher Schengen-Staaten verboten wurde, handelt es sich doch vorliegend um einen Verstoss gegen nationale Rechtsvorschrif- ten über die Einreise und den Aufenthalt. Angesichts des Umstandes, dass der Beschwerdeführer keine privaten Interessen, die gegen eine Aus- schreibung im SIS-II sprechen, geltend macht, erweist sich die Massnahme auch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Der Eventu- alantrag auf Löschung der SIS-Ausschreibung ist folglich abzuweisen.</w:t>
      </w:r>
    </w:p>
    <w:p>
      <w:r>
        <w:rPr>
          <w:b/>
        </w:rPr>
        <w:t>E. 9</w:t>
      </w:r>
    </w:p>
    <w:p>
      <w:r>
        <w:t>Zusammenfassend basiert die angefochtene Verfügung auf einem akten- widrigen Sachverhalt (E. 6.1) und verletzt Bundesrecht (Art. 49 Bst. a und b VwVG), weshalb die Beschwerde teilweise gutzuheissen und das gegen</w:t>
      </w:r>
    </w:p>
    <w:p>
      <w:r>
        <w:t>F-4344/2023 Seite 12 den Beschwerdeführer verhängte Einreiseverbot auf den Urteilszeitpunkt zu begrenzen ist. Im Übrigen ist die Beschwerde abzuweisen.</w:t>
      </w:r>
    </w:p>
    <w:p>
      <w:r>
        <w:rPr>
          <w:b/>
        </w:rPr>
        <w:t>E. 10.1</w:t>
      </w:r>
    </w:p>
    <w:p>
      <w:r>
        <w:t>Bei diesem Verfahrensausgang ist von einem hälftigen Unterliegen des Beschwerdeführers auszugehen, womit er die Verfahrenskosten zur Hälfte zu tragen hat (Art. 63 Abs. 1 VwVG). Die Kosten werden in Anwen- dung von Art. 63 Abs. 4bis VwVG i.V.m. Art. 3 des Reglements vom 21. Februar 2008 über die Kosten und Entschädigungen vor dem Bundes- verwaltungsgericht (VGKE, SR 173.320.2) auf Fr. 1’000.– festgesetzt und dem Beschwerdeführer zur Hälfte auferlegt. Sie sind dem geleisteten Kos- tenvorschuss zu entnehmen. Die Differenz von Fr. 500.– ist dem Be- schwerdeführer zurückzuerstatten.</w:t>
      </w:r>
    </w:p>
    <w:p>
      <w:r>
        <w:rPr>
          <w:b/>
        </w:rPr>
        <w:t>E. 10.2</w:t>
      </w:r>
    </w:p>
    <w:p>
      <w:r>
        <w:t>Für die notwendigen Kosten der Rechtsvertretung ist dem Beschwer- deführer im Umfang des Obsiegens eine (gekürzte) Parteientschädigung zuzusprechen. Diese geht zulasten der Vorinstanz (vgl. Art. 64 Abs. 1 und Abs. 2 VwVG). Mangels einer Kostennote setzt das Gericht die Parteient- schädigung nach pflichtgemässem Ermessen fest (Art. 14 Abs. 2 VGKE). Mit Blick auf den aktenkundigen Aufwand und die Komplexität der Streitsa- che sowie in Anwendung der gesetzlichen Bemessungskriterien von Art. 8 ff. VGKE ist die Parteientschädigung auf insgesamt Fr. 2'600.– (inkl. Aus- lagen) festzulegen. Weil der Wohnsitz des Beschwerdeführers als Empfän- ger der anwaltschaftlichen Dienstleistung im Ausland liegt, ist kein Zu- schlag für die Mehrwertsteuer auszurichten (Art. 1 Abs. 2 i.V.m. Art. 8 Abs. 1 und 18 Abs. 1 MWSTG [SR 641.20] sowie Art. 9 Abs. 1 Bst. c VGKE; vgl. auch Urteil des BVGer F-3614/2019 vom 30. April 2020 E. 8.2). Im Umfang seines hälftigen Obsiegens ist ihm folglich eine von der Vorinstanz auszu- richtende Parteientschädigung in Höhe von Fr. 1’300.– zuzusprechen. (Dispositiv nachfolgende Seite)</w:t>
      </w:r>
    </w:p>
    <w:p>
      <w:r>
        <w:t>F-4344/2023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