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F-433/2023 vom 16. Dezember 2022</w:t>
      </w:r>
    </w:p>
    <w:p>
      <w:r>
        <w:t>Bundesverwaltungsgericht, 2022-12-16, DE</w:t>
      </w:r>
    </w:p>
    <w:p>
      <w:r>
        <w:rPr>
          <w:b/>
        </w:rPr>
        <w:t xml:space="preserve">Quelle: </w:t>
      </w:r>
      <w:r>
        <w:t>https://mcp.opencaselaw.ch/entscheid/bvger_F-433_2023_d20221216</w:t>
      </w:r>
    </w:p>
    <w:p>
      <w:r>
        <w:t>FR: TAF F-433/2023 du 16 décembre 2022</w:t>
      </w:r>
    </w:p>
    <w:p>
      <w:r>
        <w:t>IT: TAF F-433/2023 del 16 dicembre 2022</w:t>
      </w:r>
    </w:p>
    <w:p>
      <w:pPr>
        <w:pStyle w:val="Heading2"/>
      </w:pPr>
      <w:r>
        <w:t>Regeste</w:t>
      </w:r>
    </w:p>
    <w:p>
      <w:r>
        <w:t>Schengen-Visum | Schengen-Visum zu Besuchszwecken; Verfügung des SEM vom 16. Dezember 2022</w:t>
      </w:r>
    </w:p>
    <w:p>
      <w:pPr>
        <w:pStyle w:val="Heading2"/>
      </w:pPr>
      <w:r>
        <w:t>Erwägungen</w:t>
      </w:r>
    </w:p>
    <w:p>
      <w:r>
        <w:rPr>
          <w:b/>
        </w:rPr>
        <w:t>E. 1.1</w:t>
      </w:r>
    </w:p>
    <w:p>
      <w:r>
        <w:t>Einspracheentscheide des SEM bezüglich Schengen-Visa sind mit Beschwerde beim Bundesverwaltungsgericht anfechtbar (vgl. Art. 31 ff. VGG). Das Rechtsmittelverfahren richtet sich nach dem VwVG, soweit das VGG nichts anderes bestimmt (Art. 37 VGG).</w:t>
      </w:r>
    </w:p>
    <w:p>
      <w:r>
        <w:rPr>
          <w:b/>
        </w:rPr>
        <w:t>E. 1.2</w:t>
      </w:r>
    </w:p>
    <w:p>
      <w:r>
        <w:t>Die Beschwerdeführerinnen sind zur Erhebung des Rechtsmittels legi- timiert (Art. 48 Abs. 1 VwVG). Obwohl der ursprünglich angestrebte Be- suchszeitraum inzwischen abgelaufen ist, kann auf ein fortbestehendes Rechtsschutzinteresse geschlossen werden.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w:t>
      </w:r>
    </w:p>
    <w:p>
      <w:r>
        <w:t>F-433/2023 Seite 4 rechtserheblichen Sachverhalts und – sofern nicht 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2014/1 E. 2 m.H.).</w:t>
      </w:r>
    </w:p>
    <w:p>
      <w:r>
        <w:rPr>
          <w:b/>
        </w:rPr>
        <w:t>E. 3.1</w:t>
      </w:r>
    </w:p>
    <w:p>
      <w:r>
        <w:t>Die Beschwerdeführerinnen machen in ihrer Rechtsmitteleingabe gel- tend, sie seien zu Unrecht nicht persönlich (entweder per Telefon oder per Videotelefonie) zu ihren Einwänden in der Einsprache angehört worden. Damit rügen sie sinngemäss eine Verletzung ihres Anspruchs auf rechtli- ches Gehör.</w:t>
      </w:r>
    </w:p>
    <w:p>
      <w:r>
        <w:rPr>
          <w:b/>
        </w:rPr>
        <w:t>E. 3.2</w:t>
      </w:r>
    </w:p>
    <w:p>
      <w:r>
        <w:t>Der Anspruch auf rechtliches Gehör (Art. 29 Abs. 2 BV; Art. 29 ff. VwVG) dient der Sachaufklärung und stellt überdies ein persönlichkeitsbe- zogenes Mitwirkungsrecht beim Erlass eines Entscheides dar. Kernele- ment ist das Recht auf vorgängige Äusserung und Anhörung, welches den Betroffenen einen Einfluss auf die Ermittlung des wesentlichen Sachver- haltes sichert. Die Behörde muss diese Äusserungen zur Kenntnis nehmen und sich in der Entscheidfindung und -begründung sachgerecht damit aus- einandersetzen (Art. 30 und Art. 32 Abs. 1 VwVG). Bei Verfahren, welche wie vorliegend, durch Gesuch der Partei eingeleitet werden, ist es hinge- gen grundsätzlich nicht notwendig, den Betroffenen vor dem Entscheid ein vorgängiges, spezifisches Anhörungsrecht einzuräumen. Von der Partei darf nach Treu und Glauben erwartet werden, dass sie in ihrer Eingabe die ihr wesentlich erscheinenden Aspekte aufzeigt (WALDMANN/BICKEL, Praxis- Kommentar VwVG, 2023, Rz. 34 zu Art. 30).</w:t>
      </w:r>
    </w:p>
    <w:p>
      <w:r>
        <w:rPr>
          <w:b/>
        </w:rPr>
        <w:t>E. 3.3</w:t>
      </w:r>
    </w:p>
    <w:p>
      <w:r>
        <w:t>Aufgrund der im vorinstanzlichen Verfahren vorliegenden umfangrei- chen Unterlagen (Akten der Auslandvertretung; Einsprache inkl. Ergän- zung) war das SEM in der Lage, eine Prüfung der Gesamtsituation vorzu- nehmen und einen Entscheid zu fällen. So konnten den Akten Angaben über das private Umfeld sowie über die finanzielle Situation der Beschwer- deführerinnen in Sri Lanka entnommen werden. Nicht verpflichtet war die Vorinstanz hingegen, den Beschwerdeführerinnen das Ergebnis ihrer Be- weiswürdigung und rechtlichen Beurteilung vorgängig mitzuteilen, damit</w:t>
      </w:r>
    </w:p>
    <w:p>
      <w:r>
        <w:t>F-433/2023 Seite 5 sich diese dazu äussern und ergänzende Belege einreichen konnten. In casu ist somit nicht von einer Verletzung des Anhörungsrechts auszuge- hen.</w:t>
      </w:r>
    </w:p>
    <w:p>
      <w:r>
        <w:rPr>
          <w:b/>
        </w:rPr>
        <w:t>E. 3.4</w:t>
      </w:r>
    </w:p>
    <w:p>
      <w:r>
        <w:t>Vorliegend erweist sich die Rüge einer Verletzung des rechtlichen Ge- hörs als unbegründet.</w:t>
      </w:r>
    </w:p>
    <w:p>
      <w:r>
        <w:rPr>
          <w:b/>
        </w:rPr>
        <w:t>E. 4</w:t>
      </w:r>
    </w:p>
    <w:p>
      <w:r>
        <w:t>März 2016 E. 3.1). Dieser bilaterale Staatsvertrag sieht unter anderem vor, dass die Schweiz die Niederlande bei der Bearbeitung von Visumsan- trägen und der Erteilung von Schengen-Visa in Sri Lanka vertritt. Die Schweizer Vertretung in Colombo ist somit ermächtigt, Visumsanträge in eigener Kompetenz zu verweigern. Antragstellern steht grundsätzlich auf ihr Verlangen die Möglichkeit offen, entsprechend den schweizerischen Rechtsvorschriften Einsprache zu erheben (vgl. Art. 32 Abs. 3 VK).</w:t>
      </w:r>
    </w:p>
    <w:p>
      <w:r>
        <w:rPr>
          <w:b/>
        </w:rPr>
        <w:t>E. 5</w:t>
      </w:r>
    </w:p>
    <w:p>
      <w:r>
        <w:t>Der angefochtenen Verfügung liegen die Gesuche von sri-lankischen Staatsangehörigen um Erteilung von Visa zu Besuchszwecken in der Schweiz zugrunde. Da sich die Beschwerdeführerinnen nicht auf die EU/EFTA-Personenfreizügigkeitsabkommen berufen können und die be- absichtigte Aufenthaltsdauer 90 Tage nicht überschreitet, fällt die vorlie- gende Streitsache in den persönlichen und sachlichen Anwendungsbe- reich der Schengen-Assoziierungsabkommen, mit denen die Schweiz den Schengen-Besitzstand und die dazugehörigen gemeinschaftsrechtlichen Rechtsakte übernommen hat (BVGE 2014/1 E. 3; 2011/48 E. 3). Das Aus- länder- und Integrationsgesetz (AIG, SR 142.20) und dessen Ausführungs- bestimmungen gelangen nur soweit zur Anwendung, als die Schengen-As- soziierungsabkommen keine abweichenden Bestimmungen enthalten (Art. 2 Abs. 2-5 AIG).</w:t>
      </w:r>
    </w:p>
    <w:p>
      <w:r>
        <w:rPr>
          <w:b/>
        </w:rPr>
        <w:t>E. 6.1</w:t>
      </w:r>
    </w:p>
    <w:p>
      <w:r>
        <w:t>Die Schweiz ist – wie andere Staaten auch – grundsätzlich nicht ver- pflichtet, ausländischen Personen die Einreise zu gestatten und</w:t>
      </w:r>
    </w:p>
    <w:p>
      <w:r>
        <w:t>F-433/2023 Seite 6 entscheidet darüber, vorbehältlich völkerrechtlicher Verpflichtungen, auto- nom (vgl. BVGE 2009/27 E. 3).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vermittelt auch das Schengen- Recht nicht (vgl. BVGE 2014/1 E. 4.1.5).</w:t>
      </w:r>
    </w:p>
    <w:p>
      <w:r>
        <w:rPr>
          <w:b/>
        </w:rPr>
        <w:t>E. 6.2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VK).</w:t>
      </w:r>
    </w:p>
    <w:p>
      <w:r>
        <w:rPr>
          <w:b/>
        </w:rPr>
        <w:t>E. 6.3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w:t>
      </w:r>
    </w:p>
    <w:p>
      <w:r>
        <w:t>F-433/2023 Seite 7</w:t>
      </w:r>
    </w:p>
    <w:p>
      <w:r>
        <w:rPr>
          <w:b/>
        </w:rPr>
        <w:t>E. 6.4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7.1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 obliegt dabei der drittstaatsangehörigen Person (Art. 14 Abs. 1 Bst. d VK; Art. 14 Abs. 3 i.V.m. Anhang II VK; Art. 6 Abs. 1 Bst. c SGK; Art. 5 Abs. 2 AIG; BVGE 2014/1 E. 4.4 und E. 6.1). Anhalts- 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7.2</w:t>
      </w:r>
    </w:p>
    <w:p>
      <w:r>
        <w:t>Sri Lanka leidet unter einer schweren Wirtschafts- und Finanzkrise. Es kommt regelmässig zu Streiks und Demonstrationen im ganzen Land. Da- bei kann es zu gewaltsamen Ausschreitungen kommen. Trotz vordergrün- diger Beruhigung der Lage bestehen weiterhin hohe politische und soziale Spannungen, wie auch Spannungen zwischen religiösen beziehungsweise ethnischen Gemeinschaften. Es kommt überdies zu Engpässen bei der Versorgung mit Medikamenten, Strom, Treibstoff und Gütern des täglichen Bedarfs. Nach Angaben der UN-Welternährungsorganisation (FAO) ist zu- letzt die landwirtschaftliche Produktion um 50 Prozent zurückgegangen. Lebensmittel mussten nun zusätzlich aus dem Ausland eingekauft werden, was die Lebensmittelpreise zwischen 2020 und 2022 um 73 Prozent an- steigen liess und die Währungsreserven aufzehrte (vgl. dazu &lt; https://www.eda.admin.ch &gt; Reisehinweise und Vertretungen &gt; Reise- hinweise für Sri Lanka; https://www.bpb.de &gt; kurz&amp;knapp &gt; Hintergrund</w:t>
      </w:r>
    </w:p>
    <w:p>
      <w:r>
        <w:t>F-433/2023 Seite 8 aktuell &gt; Regierungskrise in Sri Lanka, jeweils abgerufen im September 2023).</w:t>
      </w:r>
    </w:p>
    <w:p>
      <w:r>
        <w:rPr>
          <w:b/>
        </w:rPr>
        <w:t>E. 7.3</w:t>
      </w:r>
    </w:p>
    <w:p>
      <w:r>
        <w:t>Vor diesem Hintergrund ist nicht zu beanstanden, dass die Vorinstanz das Risiko einer nicht fristgerechten Wiederausreise von Besuchern aus Sri Lanka grundsätzlich als hoch einstuft, insbesondere wenn im westli- chen Ausland bereits ein gewisses familiäres Beziehungsnetz besteht.</w:t>
      </w:r>
    </w:p>
    <w:p>
      <w:r>
        <w:rPr>
          <w:b/>
        </w:rPr>
        <w:t>E. 8</w:t>
      </w:r>
    </w:p>
    <w:p>
      <w:r>
        <w:t>Daneben sind bei der Risikoanalyse sämtliche Gesichtspunkte des konkre- ten Einzelfalls zu berücksichtigen. Bei der Prognose über die Absicht einer gesuchstellenden Person, den Schengen-Raum fristgerecht zu verlassen, sind deren persönliche, familiäre und berufliche beziehungsweise wirt- schaftliche Situation sowie deren Interessenlage mitzuberücksichtigen (BVGE 2014/1 E. 6.3.1). Obliegt einer gesuchstellenden Person im Hei- matland beispielsweise eine besondere berufliche, gesellschaftliche oder familiäre Verantwortung, kann dies die Prognose für eine anstandslose Wiederausreise begünstigen. Umgekehrt muss bei Personen, denen in ih- rer Heimat keine besonderen Verpflichtungen obliegen, das Risiko eines ausländerrechtlich nicht regelkonformen Verhaltens nach einer bewilligten Einreise als hoch eingeschätzt werden (BVGE 2014/1 E. 6.3.1; 2009/27 E. 8).</w:t>
      </w:r>
    </w:p>
    <w:p>
      <w:r>
        <w:rPr>
          <w:b/>
        </w:rPr>
        <w:t>E. 8.1</w:t>
      </w:r>
    </w:p>
    <w:p>
      <w:r>
        <w:t>Es gilt daher die individuelle Situation der Beschwerdeführerinnen in Sri Lanka zu prüfen.</w:t>
      </w:r>
    </w:p>
    <w:p>
      <w:r>
        <w:rPr>
          <w:b/>
        </w:rPr>
        <w:t>E. 8.1.1</w:t>
      </w:r>
    </w:p>
    <w:p>
      <w:r>
        <w:t>Bei der Beschwerdeführerin 1 handelt es sich um eine verwitwete (…)-jährige Frau, die zusammen mit ihrer bald (…)-jährigen Tochter ihren in den Niederlanden lebenden Bruder besuchen will. Ursprünglich war ge- plant, dort am (…) der Pubertätszeremonie dessen Tochter beizuwohnen. Gemäss Ausführungen in der Beschwerde soll der Besuch den Beschwer- deführerinnen nunmehr die Teilnahme am (…)-igsten Geburtstag des Bru- ders beziehungsweise des Onkels ermöglichen (SEM pag. 262, BVGer act. 1). Wie sich den vorinstanzlichen Akten entnehmen lässt, leben die Beschwer- deführerinnen in ihrem Heimatland zusammen in einem Haushalt (SEM pag. 301, 247). Aus einem Schreiben vom 7. November 2022 geht zudem hervor, die Beschwerdeführerin 1 sei (…) (SEM pag. 224). Dies steht je- doch im klaren Widerspruch zu ihrer Angabe auf dem Antrag auf Erteilung eines Schengen-Visums vom 30. August 2022, wo sie ausführte, sie sei</w:t>
      </w:r>
    </w:p>
    <w:p>
      <w:r>
        <w:t>F-433/2023 Seite 9 Rentnerin (SEM act. 234), was sie auch in weiteren Dokumenten bestätigte (SEM pag. 247, 270). Belege für ihre Behauptung, sie sei (…), reichte sie überdies keine ein. Auf Beschwerdeebene wird zudem ergänzend vorge- bracht, die Beschwerdeführerin 1 pflege in Sri Lanka ihren geistig behin- derten Bruder mit. Auch hier fehlen jedoch Belege oder zumindest substan- tiierte Ausführungen. Ohnehin lässt der geplante 30-tägige Besuchsaufent- halt der Beschwerdeführerin 1 in der Schweiz darauf schliessen, dass die Betreuung ihres Bruders auch anderweitig sichergestellt werden könnte. Alleine aus dem Umstand, dass die Beschwerdeführerinnen über ein um- fangreiches Netzwerk in Sri Lanka verfügten und starke familiäre Bindun- gen bestünden, was im Übrigen auch nicht in Frage gestellt werden soll, können keine zwingenden familiären und gesellschaftlichen Verpflichtun- gen abgeleitet werden. Gemäss Formular «Antrag auf Erteilung eines Schengen-Visums» vom 30. August 2022 ist die Beschwerdeführerin 2 Studentin und besucht das (…) College in Z._______. Diesbezüglich wurde auch eine handschriftliche Bestätigung der Lehranstalt vom 25. August 2022 eingereicht (SEM pag. 111, 156). Ob sie das College nunmehr abgeschlossen hat, ist zwar nicht bekannt, mit der Vorinstanz kann aber darauf verwiesen werden, dass selbst eine noch nicht abgeschlossene Ausbildung nicht verlässlich vom Wunsch zur Emigration abzuhalten vermag, zumal in Sri Lanka die Jugend- arbeitslosigkeit hoch ist (vgl. https://www.govet.international/de/10711.php, besucht im September 2023). Sofern in der Rechtmitteleingabe als Eventualantrag die alleinige Vi- sumserteilung an die Beschwerdeführerin 1 beantragt und dazu ausgeführt wird, der Umstand, dass die Beschwerdeführerin 1 ihre Tochter im Heimat- land zurücklasse, sei eine zusätzliche Sicherheit für ihre Rückkehr nach Sri Lanka, gilt es festzustellen, dass es sich bei der Tochter um eine bald 19- jährige junge Frau handelt, welche grundsätzlich nicht mehr der Betreuung durch ihre Mutter bedarf. Es ist anzunehmen, dass diese in Sri Lanka, wo sie gemäss eigenen Aussagen über ein umfangreiches Netzwerk verfügt (vgl. Beschwerde S. 2), ein selbständiges Leben führen kann. Eine allfäl- lige finanzielle Unterstützung durch die Beschwerdeführerin 1 könnte über- dies auch aus dem Ausland erfolgen.</w:t>
      </w:r>
    </w:p>
    <w:p>
      <w:r>
        <w:rPr>
          <w:b/>
        </w:rPr>
        <w:t>E. 8.1.2</w:t>
      </w:r>
    </w:p>
    <w:p>
      <w:r>
        <w:t>Zur wirtschaftlichen Situation ist anzumerken, dass die Beschwerde- führerin 1, wie bereits ausgeführt, gemäss Antrag auf Erteilung eines Schengen-Visums pensioniert ist und gemäss Schreiben vom 18. August 2022 ein Gesamteinkommen von monatlich LKR 100'000.- (ca. CHF</w:t>
      </w:r>
    </w:p>
    <w:p>
      <w:r>
        <w:t>F-433/2023 Seite 10 287.70), darunter auch aus landwirtschaftlicher Tätigkeit, generiert. Ge- mäss den Akten besitzt sie denn auch verschiedene Grundstücke und Ge- bäude in Sri Lanka (SEM pag. 234, 267 ff., 289 ff.). Die Schweizer Vertre- tung in Colombo stufte die «Pension» der Beschwerdeführerin 1 als be- scheiden ein (SEM pag. 226). Selbst wenn von einem durchschnittlichen Einkommen ausgegangen werden könnte (vgl. https://www.laenderda- ten.info/durchschnittseinkommen.php sowie Urteil des BVGer F-3999/ 2017 vom 16. April 2018 E. 6.3), ist dieser Umstand zu relativieren, da die Beschwerdeführerin 2 als Studierende, soweit aus den Akten ersichtlich, keinen eigenen Lohn erwirtschaftet und noch auf finanzielle Unterstützung angewiesen ist. Daneben verfügt die Beschwerdeführerin 1 bei der Bank A._____ über drei Bankkonti mit je einem Guthaben über LKR 760'079.80, LKR 5'000'000.00 und LKR 1'300'326.35 (SEM pag. 273). Bereits die Vorinstanz machte dazu jedoch in der angefochtenen Verfügung zu Recht geltend, dass sowohl auf dem Sparkonto wie auch auf dem Depositenkonto mehrere höhere Geld- beträge eingezahlt worden seien, deren Herkunft unklar sei. Weiter sei das Depositenkonto mit einem Guthaben von LKR 5'000'000.00 erst vor kur- zem eröffnet worden (Date of Open: 13. Juni 2022). Dies könne ein Hinweis sein, dass die Beschwerdeführerin 1 versuche, ihre finanzielle Situation zu beschönigen (S. 3 ebenda). Die Beschwerdeführerinnen selbst gehen auf diesen Einwand in der Rechtsmitteingabe nicht ein, sodass über ihre Ver- mögenslage weiterhin kein zuverlässiges Bild gemacht werden kann. Ins- besondere kann weiterhin nicht davon ausgegangen werden, die Be- schwerdeführerinnen lebten in Sri Lanka in wirtschaftlich soliden Verhält- nissen. Ohnehin kann selbst Vermögen oder Grundbesitz keine hinrei- chende Gewähr für eine fristgerechte und anstandslose Wiederausreise der Beschwerdeführerinnen bieten, da auch im Falle einer Migration solche Vermögenswerte nicht verloren gehen.</w:t>
      </w:r>
    </w:p>
    <w:p>
      <w:r>
        <w:rPr>
          <w:b/>
        </w:rPr>
        <w:t>E. 8.2</w:t>
      </w:r>
    </w:p>
    <w:p>
      <w:r>
        <w:t>Nach dem Gesagten ist die Schlussfolgerung der Vorinstanz, wonach die Wiederausreise der Beschwerdeführerinnen angesichts ihrer individu- ellen Situation sowie der allgemeinen Lage Sri Lankas nicht als gesichert angesehen werden könne, nicht zu beanstanden. Gründe für die Ausstel- lung eines Visums mit räumlich beschränkter Gültigkeit wurden überdies weder von den Beschwerdeführerinnen geltend gemacht noch ergeben sich solche aus den Akten.</w:t>
      </w:r>
    </w:p>
    <w:p>
      <w:r>
        <w:rPr>
          <w:b/>
        </w:rPr>
        <w:t>E. 9</w:t>
      </w:r>
    </w:p>
    <w:p>
      <w:r>
        <w:t>Zusammenfassend ergibt sich, dass die angefochtene Verfügung im Lichte</w:t>
      </w:r>
    </w:p>
    <w:p>
      <w:r>
        <w:t>F-433/2023 Seite 11 von Art. 49 VwVG nicht zu beanstanden und die Beschwerde abzuweisen ist.</w:t>
      </w:r>
    </w:p>
    <w:p>
      <w:r>
        <w:rPr>
          <w:b/>
        </w:rPr>
        <w:t>E. 10</w:t>
      </w:r>
    </w:p>
    <w:p>
      <w:r>
        <w:t>Bei diesem Ausgang des Verfahrens sind die Kosten den Beschwerdefüh- rerinnen aufzuerlegen (vgl. Art. 63 Abs. 1 VwVG i.V.m. Art. 1 ff. des Regle- ments vom 21. Februar 2008 über die Kosten und Entschädigungen vor dem Bundesverwaltungsgericht [VGKE, SR 173.320.2]).</w:t>
      </w:r>
    </w:p>
    <w:p>
      <w:r>
        <w:t>(Dispositiv nächste Seite)</w:t>
      </w:r>
    </w:p>
    <w:p>
      <w:r>
        <w:t>F-433/2023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