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F-4339/2022 vom 31. März 2023</w:t>
      </w:r>
    </w:p>
    <w:p>
      <w:r>
        <w:t>Bundesverwaltungsgericht, 2023-03-31, DE</w:t>
      </w:r>
    </w:p>
    <w:p>
      <w:r>
        <w:rPr>
          <w:b/>
        </w:rPr>
        <w:t xml:space="preserve">Quelle: </w:t>
      </w:r>
      <w:r>
        <w:t>https://mcp.opencaselaw.ch/entscheid/bvger_F-4339_2022</w:t>
      </w:r>
    </w:p>
    <w:p>
      <w:r>
        <w:t>FR: TAF F-4339/2022 du 31 mars 2023</w:t>
      </w:r>
    </w:p>
    <w:p>
      <w:r>
        <w:t>IT: TAF F-4339/2022 del 31 marzo 2023</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angefochtenen Entscheid besonders berührt. Obwohl der ursprünglich angestrebte Besuchszeitraum inzwischen abgelaufen ist, muss - auch aufgrund der Einreichung des Rechtsmittels - auf ein fortbestehendes Rechtsschutzinteresse geschlossen werden. Der Beschwerdeführer ist daher zur Erhebung des Rechtsmittels legitimiert (Art. 48 Abs. 1 VwVG). Auf die frist- und formgerecht eingereichte Beschwerde ist einzutreten (vgl. Art. 50 Abs. 1 und Art.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w:t>
      </w:r>
    </w:p>
    <w:p>
      <w:r>
        <w:rPr>
          <w:b/>
        </w:rPr>
        <w:t>E. 3</w:t>
      </w:r>
    </w:p>
    <w:p>
      <w:r>
        <w:t>Der angefochtenen Verfügung liegt das Gesuch einer nigerianischen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in Kraft seit dem 15. September 2018; vgl. auch Art. 2 Ziff. 6 SGK; Art. 5 Abs. 1 Bst. a AIG). Als nigerianische Staatsangehörige unterliegt die Gesuchstellerin unbestrittenermassen der Visumspflicht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2009/27 E. 5.2; Art. 5 Abs. 2 AIG).</w:t>
      </w:r>
    </w:p>
    <w:p>
      <w:r>
        <w:rPr>
          <w:b/>
        </w:rPr>
        <w:t>E. 4.3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respektive das Visum zu verweigern, wenn die Voraussetzungen nicht erfüllt sind. Einen Anspruch auf Einreise respektive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Aufgrund ihrer Staatszugehörigkeit unterliegt die Gesuchstellerin der Visumspflicht (vgl. E. 4.1 hiervor). Bei der Prüfung der Einreisevoraussetzungen nach Art. 6 Abs. 1 SGK ist die Frage der gesicherten Wiederausreise zentral. Eine solche erachtete das SEM als nicht genügend gewährleistet. So würden der Gesuchstellerin keine besonderen beruflichen, familiären oder gesellschaftlichen Verpflichtungen obliegen, welche Gewähr für eine fristgerechte und anstandslose Rückkehr in ihr Heimatland zu bieten vermöchten (SEM act. 6/79-81).</w:t>
      </w:r>
    </w:p>
    <w:p>
      <w:r>
        <w:rPr>
          <w:b/>
        </w:rPr>
        <w:t>E. 5.2</w:t>
      </w:r>
    </w:p>
    <w:p>
      <w:r>
        <w:t>Bei der Beurteilung der Gewähr für eine fristgerechte Wiederausreise muss ein zukünftiges Verhalten beurteilt werden, weshalb lediglich Prognosen gestellt werden können. Dabei sind einerseits die allgemeine Lage im Herkunftsland und andererseits die individuelle Situation der gesuchstellenden Person in die Beurteilung miteinzubeziehen.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(vgl. BVGE 2014/1 E. 6.1 m.H.).</w:t>
      </w:r>
    </w:p>
    <w:p>
      <w:r>
        <w:rPr>
          <w:b/>
        </w:rPr>
        <w:t>E. 5.3</w:t>
      </w:r>
    </w:p>
    <w:p>
      <w:r>
        <w:t>Im Zusammenhang mit der allgemeinen Lage in Nigeria wies die Vorin-stanz in ihrem Entscheid auf die nachteiligen wirtschaftlichen Verhältnisse und den damit einhergehenden Migrationsdruck hin. Diese Einschätzung ist im Ergebnis nicht zu beanstanden: Mit rund 206 Mio. Einwohnerinnen und Einwohnern ist Nigeria das bevölkerungsreichste Land Afrikas. Obwohl dieses aufgrund seiner reichhaltigen Erdölvorkommen auch als stärkste Volkswirtschaft des Kontinents gilt, leben mehr als zwei Drittel der Bevölkerung in extremer Armut. Insbesondere im ländlichen Raum herrscht eine hohe Arbeitslosigkeit. Trotz wirtschaftspolitischer Reformen ist es der Regierung bislang nicht gelungen, den Rohstoffreichtum für die wirtschaftliche und soziale Entwicklung des Landes zu nutzen. Hinzu kommt eine ungleiche regionale Verteilung: Das Wirtschaftszentrum Lagos und die reichen Ölfelder befinden sich im Süden des Landes, während der ländlich geprägte Norden wenig an der Wirtschaft partizipiert. Die Sicherheitslage und die humanitäre Situation im Nordosten des Landes verschlechtern sich seit 2018 kontinuierlich. Vor allem im Norden des Landes kommt es immer wieder zu bewaffneten Auseinandersetzungen und Terroranschlägen. Das Militär ist bisher nicht in der Lage, die Sicherheit in der Region zu garantieren und die Bevölkerung vor Angriffen zu schützen (vgl. zum Ganzen Nigeria / BMZ, https://www.google.ch/url?sa=t&amp;rct=j&amp;q=&amp;esrc=s&amp;source=web&amp;cd=&amp;cad=rja&amp;uact=8&amp;ved=2ahUKEwjFoKbb8O_9AhVAgv0HHUy9DOgQFnoECCIQAQ&amp;url=https%3A%2F%2Fwww.bmz.de%2Fde%2Flaender%2Fnigeria&amp;usg=AOvVaw1mNWJG6-FILXZcvwpmhwvI; Informationen der KfW Entwicklungsbank zu Nigeria: https://www.kfw-entwicklungsbank.de/Internationale-Finanzierung/KfW-Entwicklungsbank/Weltweite-Pr%C3%A4senz/Subsahara-Afrika/Nigeria/; beide abgerufen am 23.03.2023).</w:t>
      </w:r>
    </w:p>
    <w:p>
      <w:r>
        <w:rPr>
          <w:b/>
        </w:rPr>
        <w:t>E. 5.4</w:t>
      </w:r>
    </w:p>
    <w:p>
      <w:r>
        <w:t>Vor diesem Hintergrund ist nicht zu beanstanden, dass die Vorinstanz das Risiko einer nicht fristgerechten Wiederausreise von Besucherinnen und Besuchern aus Nigeria als grundsätzlich hoch einschätzt.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die weiteren Umstände ebenfalls zu würdigen.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5.5</w:t>
      </w:r>
    </w:p>
    <w:p>
      <w:r>
        <w:t>Bei der Gesuchstellerin handelt es sich um eine (...)-jährige, ledige und kinderlose Frau, welche den Akten zufolge ein Studium absolviert und nebenbei ein kleines Geschäft (Nennung Name Geschäft) betreibt. Über ihre Lebensverhältnisse in der Heimat sind den Gesuchsunterlagen keine näheren Angaben zu entnehmen. Gemäss Beschwerdeschrift verfüge sie in der Heimat über ihre Kernfamilie (Aufzählung Angehörige), zu welchen sie einen engen Bezug habe, und sei mit der weiteren Familie und Freunden eng verbunden. Aufgrund dieser Angaben kann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Verhältnisse selbst zurückbleibende nahe Angehörige regelmässig nicht verlässlich davon abhalten können, den Entscheid für eine Emigration zu fällen; dies etwa in der Hoffnung, die Zurückgebliebenen aus dem Ausland wirtschaftlich effizienter unterstützen zu können.</w:t>
      </w:r>
    </w:p>
    <w:p>
      <w:r>
        <w:rPr>
          <w:b/>
        </w:rPr>
        <w:t>E. 5.6</w:t>
      </w:r>
    </w:p>
    <w:p>
      <w:r>
        <w:t>Entsprechend grosse Bedeutung kommt deshalb den wirtschaftlichen Verhältnissen zu, in denen sich die Gesuchstellerin befindet. Aus dem Visumsantrag der Gesuchstellerin vom (...) geht hervor, dass sie in der Rubrik "Derzeitige berufliche Tätigkeit" ausschliesslich vermerkte, Studentin zu sein (vgl. SEM act. 3/60). In ihrer als "Letter of Introduction" bezeichneten Eingabe vom 19. Mai 2022 führte sie in diesem Zusammenhang hingegen aus, sie sei nicht nur Studentin, sondern führe aufgrund der flexiblen Natur ihres akademischen Programms auch einen (Nennung Geschäft) (SEM-act. 3/41), was denn auch der Beschwerdeführer in seiner Einsprache gegen den negativen Visumsentscheid (vgl. SEM-act. 1/1-7) sowie in seiner Beschwerdeschrift bestätigte. Gemäss den eingereichten Visums- und Beschwerdeunterlagen - (Aufzählung Beweismittel) - belaufen sich die aus dem fraglichen Betrieb erzielten Einkünfte auf monatlich (...) bis (...) US Dollar. Der Bankauszug des (Nennung Konto des Geschäfts) für den Zeitraum (Nennung Dauer) weist per (Nennung Zeitpunkt) einen Saldo von umgerechnet zirka Fr. 1'825.- aus, was jedenfalls nicht auf günstige wirtschaftliche Verhältnisse schliessen lässt, die die Gesuchstellerin nachhaltig von einer Emigration abzuhalten vermöchten. Einen anderen Schluss lassen auch die mit der Replik eingereichten weiteren Unterlagen zur aktuellen finanziellen Situation nicht zu (Nennung Beweismittel). So schwanken die aus dem fraglichen Geschäft erzielten Einkünfte gemäss diesen Dokumenten monatlich zwischen (...) bis maximal (...) US Dollar. Auch weisen die Bankauszüge des Privat- und des (Nennung Konto des Geschäfts) per (Nennung Zeitpunkt) lediglich einen Saldo von umgerechnet rund Fr. 490.- beziehungsweise Fr. 392.- aus (vgl. Beilagen 3 - 5 der Replik). Weiter ergeben sich aus den geschäftlichen Unterlagen zum (Nennung Geschäft) hinsichtlich dessen Namen und Adresse Ungereimtheiten. Gemäss den Unterlagen zur Registrierung nennt sich das Geschäft, welches als Inhaberin die Gesuchstellerin bezeichnet, E._______. Als Adresse des Sitzes des Hauptgeschäfts wird (...), angeführt; eine Adresse für eine Filiale wird nicht ausgewiesen (vgl. SEM act. 3/37-40). Hingegen lautet der Name des Geschäfts gemäss der mit der Beschwerdeschrift eingereichten Fotodokumentation F._______, welches sich am (...) befindet (vgl. Beschwerdebeilage 5). Doch auch unbesehen dieser Unstimmigkeit (so beziehen sich die eingereichten Bankbelege auf das Geschäft E._______) kann fraglos nicht von einer massgeblichen beruflichen Verankerung der Eingeladenen ausgegangen werden, welche die Gefahr eines Verbleibens in der Schweiz beziehungsweise im Schengen-Raum über den deklarierten Zeitraum hinaus als unwahrscheinlich erscheinen liesse. Nebst den vorstehenden Ausführungen ist dabei auf den vorgesehenen längeren Auslandaufenthalt von (Nennung Dauer), der offenbar mangels finanzieller Mittel vollumfänglich vom Gastgeber finanziert werden müsste (vgl. SEM act.3/45), die Möglichkeit der Gesuchstellerin, sich während einer Abwesenheit von zwei Angestellten im (Nennung Geschäft) vertreten zu lassen und ihre Absicht, in naher Zukunft in die Schweiz zu ziehen (vgl. Beschwerdeschrift S. 2 unten), hinzuweisen. Der verständliche Wunsch des Beschwerdeführers, seiner Verlobten die Schweiz zu zeigen und ihr zwecks Beziehungspflege zu ermöglichen, seine Lebensumstände kennen zu lernen, um anschliessend die gemeinsame Zukunft planen zu können, vermag an dieser Beurteilung nichts zu ändern. So ist bei der Risikobeurteilung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w:t>
      </w:r>
    </w:p>
    <w:p>
      <w:r>
        <w:rPr>
          <w:b/>
        </w:rPr>
        <w:t>E. 5.7</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zu Recht nicht geltend gemacht und solche sind denn auch nicht ersichtlich.</w:t>
      </w:r>
    </w:p>
    <w:p>
      <w:r>
        <w:rPr>
          <w:b/>
        </w:rPr>
        <w:t>E. 6</w:t>
      </w:r>
    </w:p>
    <w:p>
      <w:r>
        <w:t>Aus diesen Darlegungen folgt, dass die angefochtene Verfügung im Lichte von Art. 49 VwVG nicht zu beanstanden ist. Die Beschwerde ist daher abzuweisen.</w:t>
      </w:r>
    </w:p>
    <w:p>
      <w:r>
        <w:rPr>
          <w:b/>
        </w:rPr>
        <w:t>E. 7</w:t>
      </w:r>
    </w:p>
    <w:p>
      <w:r>
        <w:t>Bei diesem Ausgang des Verfahrens sind die Kosten dem Beschwerdefüh-rer aufzuerlegen (vgl. Art. 63 Abs. 1 VwVG) und auf insgesamt Fr. 800.- festzusetzen (Art. 1-3 des Reglements vom 21. Februar 2008 über die Kosten und Entschädigungen vor dem Bundesverwaltungsgericht [VGKE, SR 173.320.2]). Der am 11. November 2022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