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F-4321/2025 vom 24. Juni 2025</w:t>
      </w:r>
    </w:p>
    <w:p>
      <w:r>
        <w:t>Bundesverwaltungsgericht, 2025-06-24, DE</w:t>
      </w:r>
    </w:p>
    <w:p>
      <w:r>
        <w:rPr>
          <w:b/>
        </w:rPr>
        <w:t xml:space="preserve">Quelle: </w:t>
      </w:r>
      <w:r>
        <w:t>https://mcp.opencaselaw.ch/entscheid/bvger_F-4321_2025</w:t>
      </w:r>
    </w:p>
    <w:p>
      <w:r>
        <w:t>FR: TAF F-4321/2025 du 24 juin 2025</w:t>
      </w:r>
    </w:p>
    <w:p>
      <w:r>
        <w:t>IT: TAF F-4321/2025 del 24 giugno 2025</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(SR 172.021), dem VGG (SR 173.32) und dem BGG (SR 173.110), soweit das AsylG (SR 142.31) nicht anderes bestimmt (Art. 6 AsylG).</w:t>
      </w:r>
    </w:p>
    <w:p>
      <w:r>
        <w:rPr>
          <w:b/>
        </w:rPr>
        <w:t>E. 1.2</w:t>
      </w:r>
    </w:p>
    <w:p>
      <w:r>
        <w:t>Gemäss Art. 105 AsylG i.V.m. Art. 31 VGG ist das Bundesverwaltungsgericht zur Beurteilung von Beschwerden auf dem Gebiet des Asyls zuständig. Der Beschwerdeführer ist zur Einreichung der Beschwerde legitimiert (Art. 105 AsylG und Art. 48 Abs. 1 VwVG). Auf die frist- und formgerecht eingereichte Beschwerde ist somit einzutreten (Art. 108 Abs. 3 AsylG und Art. 52 Abs. 1 VwVG).</w:t>
      </w:r>
    </w:p>
    <w:p>
      <w:r>
        <w:rPr>
          <w:b/>
        </w:rPr>
        <w:t>E. 1.3</w:t>
      </w:r>
    </w:p>
    <w:p>
      <w:r>
        <w:t>Bei Beschwerden gegen Nichteintretensentscheide, mit denen es das SEM ablehnt, das Asylgesuch auf seine Begründetheit hin zu überprüfen (Art. 31a Abs. 1 bis 3 AsylG), ist die Beurteilungskompetenz der Beschwerdeinstanz grundsätzlich auf die Frage beschränkt, ob die Vorinstanz zu Recht auf das Asylgesuch nicht eingetreten ist (vgl. BVGE 2017 VI/5 E. 3.1; 2012/4 E. 2.2, je m.w.H.).</w:t>
      </w:r>
    </w:p>
    <w:p>
      <w:r>
        <w:rPr>
          <w:b/>
        </w:rPr>
        <w:t>E. 1.4</w:t>
      </w:r>
    </w:p>
    <w:p>
      <w:r>
        <w:t>Die Beschwerde erweist sich als offensichtlich unbegründet, weshalb sie im Verfahren der einzelrichterlichen Zuständigkeit mit Zustimmung eines zweiten Richters beziehungsweise einer zweiten Richterin (Art. 111 Bst. e AsylG), ohne Durchführung eines Schriftenwechsels und mit summarischer Begründung, zu behandeln ist (Art. 111a Abs. 1 und 2 AsylG).</w:t>
      </w:r>
    </w:p>
    <w:p>
      <w:r>
        <w:rPr>
          <w:b/>
        </w:rPr>
        <w:t>E. 1.5</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der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2.2</w:t>
      </w:r>
    </w:p>
    <w:p>
      <w:r>
        <w:t>Gestützt auf Art. 3 Abs. 1 Dublin-III-VO wird jeder Asylantrag von einem einzigen Mitgliedstaat geprüft, dessen Zuständigkeit sich nach den Kriterien des Kapitels III bestimmen lässt. Das Verfahren zur Bestimmung des zuständigen Mitgliedstaates wird eingeleitet, sobald in einem Mitgliedstaat erstmals ein Asylantrag gestellt wird (Art. 20 Abs. 1 Dublin-III-VO). Erweist es sich als unmöglich, einen Antragsteller in den eigentlich zuständigen Mitgliedstaat zu überstellen, weil es wesentliche Gründe für die Annahme gibt, dass das Asylverfahren und die Aufnahmebedingungen für ihn in jenem Mitgliedstaat systemische Schwachstellen aufweisen, die eine Gefahr einer unmenschlichen oder entwürdigenden Behandlung im Sinne von Art.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2.3</w:t>
      </w:r>
    </w:p>
    <w:p>
      <w:r>
        <w:t>Im Rahmen eines Wiederaufnahmeverfahrens (engl.: take back) findet grundsätzlich keine (erneute) Zuständigkeitsprüfung nach Kapitel III statt (vgl. zum Ganzen BVGE 2019 VI/7 E. 4-6; 2017 VI/5 E. 6.2 und 8.2.1 m.w.H.). Der nach dieser Verordnung zuständige Mitgliedstaat ist verpflichtet, einen Drittstaatsangehörigen oder Staatenlosen, dessen Antrag abgelehnt wurde und der in einem anderen Mitgliedstaat einen Antrag gestellt hat oder der sich im Hoheitsgebiet eines anderen Mitgliedstaats ohne Aufenthaltstitel aufhält, nach Massgabe der Artikel 23, 24, 25 und 29 wieder aufzunehmen (Art. 18 Abs. 1 Bst. d Dublin-III-VO). 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2.4</w:t>
      </w:r>
    </w:p>
    <w:p>
      <w:r>
        <w:t>Die Vorinstanz hat korrekt erwogen, dass gemäss Art. 18 Abs. 1 Bst. d Dublin-III-VO grundsätzlich Deutschland für die Behandlung des Asylgesuchs des Beschwerdeführers zuständig ist, da er dort am 25. Juli 2024 um Asyl ersucht hatte (vgl. SEM-act, Nr. 1418987-8/1). Die deutschen Behörden stimmten am 5. Juni 2025 dem Rückübernahmegesuch der Schweiz zu (vgl. SEM-act, Nr. 1418987-15/2). Das dortige Asylsystem weist rechtsprechungsgemäss keine systemischen Mängel auf (vgl. Urteil des BVGer F-3839/2025 vom 5. Juni 2025 E. 3.1 und Urteil des BVGer F-3296/2025 vom 15. Mai 2025 E. 6), aufgrund derer die Zuständigkeit gemäss Art. 3 Abs. 2 Dublin-III-VO auf die Schweiz überginge. Des Weiteren sind vorliegend keine völkerrechtlichen Vollzugshindernisse ersichtlich, welche die Schweiz zu einem Selbsteintritt nach Art. 17 Abs. 1 Dublin-III-VO verpflichten würden. Die Vorinstanz hat namentlich die Vorbringen des Beschwerdeführers im Hinblick auf seine gesundheitlichen Beeinträchtigungen (koronare Kardiopathie) gemäss dem medizinischen Bericht vom 4. Juni 2025 (siehe SEM-act, Nr. [1418987-]16/2) berücksichtigt und gewürdigt. Weiter hat sie in rechtsfehlerfreier Ausübung des ihr nach Art. 17 Abs. 1 Dublin-III-VO und Art. 29a Abs. 3 der Asylverordnung 1 vom 11. August 1999 (AsylV 1, SR 142.311) zukommenden Ermessens von einem freiwilligen Selbsteintritt der Schweiz abgesehen. Sie ist demnach zu Recht in Anwendung von Art. 31a Abs. 1 Bst. b AsylG auf das Asylgesuch des Beschwerdeführers nicht eingetreten und hat in Anwendung von Art. 44 AsylG seine Wegweisung nach Deutschland angeordnet. Im Übrigen wird auf die vorinstanzlichen Erwägungen verwiesen.</w:t>
      </w:r>
    </w:p>
    <w:p>
      <w:r>
        <w:rPr>
          <w:b/>
        </w:rPr>
        <w:t>E. 2.5</w:t>
      </w:r>
    </w:p>
    <w:p>
      <w:r>
        <w:t>Bezüglich der vom Beschwerdeführer auf Rechtsmittelebene vorgebrachten gesundheitlichen Beschwerden lässt sich festhalten, dass deren Schweregrad nicht ausreicht, um einen Verstoss gegen Art. 3 EMRK zu begründen (vgl. dazu auch BVGE 2011/9 E. 7 m.w.H. und Urteil des EGMR Paposhvili gegen Belgien vom 13. Dezember 2016, Grosse Kammer, Nr. 41738/10, §§ 180-193, bestätigt durch Urteil des EGMR Savran gegen Dänemark vom 7. Dezember 2021, Grosse Kammer, Nr. 57467/15, §§ 121 ff., wonach zwangsweise Rückweisungen von Personen mit gesundheitlichen Problemen nur ganz ausnahmsweise einen Verstoss gegen Art. 3 EMRK darstellen können).</w:t>
      </w:r>
    </w:p>
    <w:p>
      <w:r>
        <w:rPr>
          <w:b/>
        </w:rPr>
        <w:t>E. 2.6</w:t>
      </w:r>
    </w:p>
    <w:p>
      <w:r>
        <w:t>Schliesslich macht der Beschwerdeführer geltend, dass er bei der Vorinstanz ein Gesuch um Anerkennung als Staatenloser gestellt hat. Im zentralen Migrationsinformationssystem (ZEMIS) wird der Beschwerdeführer jedoch als serbischer Staatsbürger geführt (siehe ZEMIS, Personen-ID [...]). Auf die Auseinandersetzung bezüglich seines Gesuches kann vorliegend verzichtet werden, da Deutschland Signatarstaat des Übereinkommens über die Rechtsstellung der Staatenlosen (SR 0.142.40) ist (siehe Systematische Rechtsammlung, SR 0.142.40, Geltungsbereich am 9. Juni 2023, https://www.fedlex.admin.ch/eli/cc/1972/2320_2374_2150/de&gt;, abgerufen am 20. Juni 2025) und er sein Gesuch somit gegenüber den deutschen Behörden stellen kann (vgl. Urteil des BVGer D-3236/2017 vom 19. Juni 2017, S. 5 f.). Im Übrigen ist festzuhalten, dass die Frage der Staatenlosigkeit für das Dublin-Verfahren ohne Relevanz ist, da von Art. 18 Abs. 1 lit. d i.V.m. Art. 1 Dublin-III-VO alle Antragssteller, darunter explizit auch staatenlose Personen, erfasst werden.</w:t>
      </w:r>
    </w:p>
    <w:p>
      <w:r>
        <w:rPr>
          <w:b/>
        </w:rPr>
        <w:t>E. 3</w:t>
      </w:r>
    </w:p>
    <w:p>
      <w:r>
        <w:t>Nach dem Gesagten ist die angefochtene Verfügung vom 6. Juni 2025 nicht zu beanstanden und die Beschwerde ist abzuweisen.</w:t>
      </w:r>
    </w:p>
    <w:p>
      <w:r>
        <w:rPr>
          <w:b/>
        </w:rPr>
        <w:t>E. 4</w:t>
      </w:r>
    </w:p>
    <w:p>
      <w:r>
        <w:t>Mit vorliegendem Urteil fällt der am 17. Juni 2025 angeordnete Vollzugsstopp dahin.</w:t>
      </w:r>
    </w:p>
    <w:p>
      <w:r>
        <w:rPr>
          <w:b/>
        </w:rPr>
        <w:t>E. 5</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Ausgangsgemäss fällt eine Parteientschädigung ausser Betracht.</w:t>
      </w:r>
    </w:p>
    <w:p>
      <w:r>
        <w:rPr>
          <w:b/>
        </w:rPr>
        <w:t>E. 6</w:t>
      </w:r>
    </w:p>
    <w:p>
      <w:r>
        <w:t>Das Bundesverwaltungsgericht entscheidet in der vorliegenden Sache endgültig (Art. 83 Bst. c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